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EC1B4" w14:textId="77777777" w:rsidR="00A163ED" w:rsidRDefault="00A163ED">
      <w:pPr>
        <w:rPr>
          <w:b/>
          <w:color w:val="000000"/>
          <w:sz w:val="22"/>
        </w:rPr>
      </w:pPr>
      <w:bookmarkStart w:id="0" w:name="_GoBack"/>
      <w:bookmarkEnd w:id="0"/>
    </w:p>
    <w:tbl>
      <w:tblPr>
        <w:tblW w:w="907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9073"/>
      </w:tblGrid>
      <w:tr w:rsidR="00A163ED" w14:paraId="4D7B0BCD" w14:textId="77777777" w:rsidTr="00257DEF">
        <w:tblPrEx>
          <w:tblCellMar>
            <w:top w:w="0" w:type="dxa"/>
            <w:bottom w:w="0" w:type="dxa"/>
          </w:tblCellMar>
        </w:tblPrEx>
        <w:tc>
          <w:tcPr>
            <w:tcW w:w="9073" w:type="dxa"/>
            <w:shd w:val="pct20" w:color="auto" w:fill="auto"/>
          </w:tcPr>
          <w:p w14:paraId="66D9D2DB" w14:textId="77777777" w:rsidR="00A163ED" w:rsidRDefault="00A163ED" w:rsidP="005B4431">
            <w:pPr>
              <w:jc w:val="center"/>
              <w:rPr>
                <w:b/>
                <w:sz w:val="22"/>
              </w:rPr>
            </w:pPr>
            <w:r>
              <w:rPr>
                <w:b/>
                <w:sz w:val="22"/>
              </w:rPr>
              <w:t>ANNOUNCEMENT TO BE MADE BY THE AIM APPLICANT PRIOR TO ADMISSION IN ACCORDANCE WITH RULE 2</w:t>
            </w:r>
            <w:r w:rsidR="00BF6CCC">
              <w:rPr>
                <w:b/>
                <w:sz w:val="22"/>
              </w:rPr>
              <w:t xml:space="preserve"> OF THE AIM RULES FOR COMPANIES (“AIM RULES”)</w:t>
            </w:r>
          </w:p>
        </w:tc>
      </w:tr>
      <w:tr w:rsidR="00A163ED" w14:paraId="53E33544" w14:textId="77777777" w:rsidTr="00257DEF">
        <w:tblPrEx>
          <w:tblCellMar>
            <w:top w:w="0" w:type="dxa"/>
            <w:bottom w:w="0" w:type="dxa"/>
          </w:tblCellMar>
        </w:tblPrEx>
        <w:tc>
          <w:tcPr>
            <w:tcW w:w="9073" w:type="dxa"/>
          </w:tcPr>
          <w:p w14:paraId="04809510" w14:textId="77777777" w:rsidR="00A163ED" w:rsidRDefault="00A163ED" w:rsidP="005B4431">
            <w:pPr>
              <w:rPr>
                <w:sz w:val="22"/>
              </w:rPr>
            </w:pPr>
          </w:p>
        </w:tc>
      </w:tr>
      <w:tr w:rsidR="00A163ED" w14:paraId="080E3C4E" w14:textId="77777777" w:rsidTr="00257DEF">
        <w:tblPrEx>
          <w:tblCellMar>
            <w:top w:w="0" w:type="dxa"/>
            <w:bottom w:w="0" w:type="dxa"/>
          </w:tblCellMar>
        </w:tblPrEx>
        <w:tc>
          <w:tcPr>
            <w:tcW w:w="9073" w:type="dxa"/>
            <w:shd w:val="pct10" w:color="auto" w:fill="auto"/>
          </w:tcPr>
          <w:p w14:paraId="4E7F6338" w14:textId="77777777" w:rsidR="00A163ED" w:rsidRDefault="00A163ED" w:rsidP="005B4431">
            <w:pPr>
              <w:rPr>
                <w:sz w:val="22"/>
              </w:rPr>
            </w:pPr>
            <w:r>
              <w:rPr>
                <w:sz w:val="22"/>
              </w:rPr>
              <w:t>COMPANY NAME:</w:t>
            </w:r>
          </w:p>
        </w:tc>
      </w:tr>
      <w:tr w:rsidR="00A163ED" w14:paraId="5B0FC0C8" w14:textId="77777777" w:rsidTr="00257DEF">
        <w:tblPrEx>
          <w:tblCellMar>
            <w:top w:w="0" w:type="dxa"/>
            <w:bottom w:w="0" w:type="dxa"/>
          </w:tblCellMar>
        </w:tblPrEx>
        <w:tc>
          <w:tcPr>
            <w:tcW w:w="9073" w:type="dxa"/>
          </w:tcPr>
          <w:p w14:paraId="252C3176" w14:textId="77777777" w:rsidR="00A163ED" w:rsidRDefault="008F1BEF" w:rsidP="005B4431">
            <w:pPr>
              <w:rPr>
                <w:sz w:val="22"/>
              </w:rPr>
            </w:pPr>
            <w:r>
              <w:rPr>
                <w:sz w:val="22"/>
              </w:rPr>
              <w:t>Gemfields Group Limited (“Gemfields”, the “Company” or the “Group”)</w:t>
            </w:r>
          </w:p>
          <w:p w14:paraId="2B724D64" w14:textId="77777777" w:rsidR="003D2BB8" w:rsidRDefault="003D2BB8" w:rsidP="005B4431">
            <w:pPr>
              <w:rPr>
                <w:sz w:val="22"/>
              </w:rPr>
            </w:pPr>
          </w:p>
        </w:tc>
      </w:tr>
      <w:tr w:rsidR="00A163ED" w14:paraId="347689A1" w14:textId="77777777" w:rsidTr="00257DEF">
        <w:tblPrEx>
          <w:tblCellMar>
            <w:top w:w="0" w:type="dxa"/>
            <w:bottom w:w="0" w:type="dxa"/>
          </w:tblCellMar>
        </w:tblPrEx>
        <w:tc>
          <w:tcPr>
            <w:tcW w:w="9073" w:type="dxa"/>
            <w:shd w:val="pct10" w:color="auto" w:fill="auto"/>
          </w:tcPr>
          <w:p w14:paraId="06638F21" w14:textId="77777777" w:rsidR="00A163ED" w:rsidRDefault="00A163ED" w:rsidP="005B4431">
            <w:pPr>
              <w:rPr>
                <w:sz w:val="22"/>
              </w:rPr>
            </w:pPr>
            <w:r>
              <w:rPr>
                <w:sz w:val="22"/>
              </w:rPr>
              <w:t>COMPANY</w:t>
            </w:r>
            <w:r w:rsidR="008B4B8B">
              <w:rPr>
                <w:sz w:val="22"/>
              </w:rPr>
              <w:t xml:space="preserve"> REGISTERED</w:t>
            </w:r>
            <w:r w:rsidR="00A6281F">
              <w:rPr>
                <w:sz w:val="22"/>
              </w:rPr>
              <w:t xml:space="preserve"> OFFICE</w:t>
            </w:r>
            <w:r>
              <w:rPr>
                <w:sz w:val="22"/>
              </w:rPr>
              <w:t xml:space="preserve"> ADDRESS</w:t>
            </w:r>
            <w:r w:rsidR="005A32A2">
              <w:rPr>
                <w:sz w:val="22"/>
              </w:rPr>
              <w:t xml:space="preserve"> </w:t>
            </w:r>
            <w:r w:rsidR="008B4B8B">
              <w:rPr>
                <w:sz w:val="22"/>
              </w:rPr>
              <w:t>AND IF DIFFERENT, COMPANY TRADING ADDRESS</w:t>
            </w:r>
            <w:r w:rsidR="006E64B2">
              <w:rPr>
                <w:sz w:val="22"/>
              </w:rPr>
              <w:t xml:space="preserve"> (INCLUDING POSTCODES</w:t>
            </w:r>
            <w:proofErr w:type="gramStart"/>
            <w:r w:rsidR="006E64B2">
              <w:rPr>
                <w:sz w:val="22"/>
              </w:rPr>
              <w:t xml:space="preserve">) </w:t>
            </w:r>
            <w:r>
              <w:rPr>
                <w:sz w:val="22"/>
              </w:rPr>
              <w:t>:</w:t>
            </w:r>
            <w:proofErr w:type="gramEnd"/>
          </w:p>
        </w:tc>
      </w:tr>
      <w:tr w:rsidR="005A32A2" w14:paraId="0134E82D" w14:textId="77777777" w:rsidTr="00257DEF">
        <w:tblPrEx>
          <w:tblCellMar>
            <w:top w:w="0" w:type="dxa"/>
            <w:bottom w:w="0" w:type="dxa"/>
          </w:tblCellMar>
        </w:tblPrEx>
        <w:tc>
          <w:tcPr>
            <w:tcW w:w="9073" w:type="dxa"/>
          </w:tcPr>
          <w:p w14:paraId="428AB882" w14:textId="77777777" w:rsidR="00FA49EC" w:rsidRPr="00FA49EC" w:rsidRDefault="00FA49EC" w:rsidP="008F1BEF">
            <w:pPr>
              <w:rPr>
                <w:b/>
                <w:sz w:val="22"/>
              </w:rPr>
            </w:pPr>
            <w:r>
              <w:rPr>
                <w:b/>
                <w:sz w:val="22"/>
              </w:rPr>
              <w:t>Registered Office Address</w:t>
            </w:r>
          </w:p>
          <w:p w14:paraId="5ED536F4" w14:textId="77777777" w:rsidR="008F1BEF" w:rsidRPr="008F1BEF" w:rsidRDefault="008F1BEF" w:rsidP="008F1BEF">
            <w:pPr>
              <w:rPr>
                <w:sz w:val="22"/>
              </w:rPr>
            </w:pPr>
            <w:r w:rsidRPr="008F1BEF">
              <w:rPr>
                <w:sz w:val="22"/>
              </w:rPr>
              <w:t>Gemfields Group Ltd</w:t>
            </w:r>
          </w:p>
          <w:p w14:paraId="34AA25C7" w14:textId="77777777" w:rsidR="008F1BEF" w:rsidRPr="008F1BEF" w:rsidRDefault="008F1BEF" w:rsidP="008F1BEF">
            <w:pPr>
              <w:rPr>
                <w:sz w:val="22"/>
              </w:rPr>
            </w:pPr>
            <w:r w:rsidRPr="008F1BEF">
              <w:rPr>
                <w:sz w:val="22"/>
              </w:rPr>
              <w:t>Royal Chambers</w:t>
            </w:r>
          </w:p>
          <w:p w14:paraId="7E7815C9" w14:textId="77777777" w:rsidR="008F1BEF" w:rsidRPr="008F1BEF" w:rsidRDefault="008F1BEF" w:rsidP="008F1BEF">
            <w:pPr>
              <w:rPr>
                <w:sz w:val="22"/>
              </w:rPr>
            </w:pPr>
            <w:r w:rsidRPr="008F1BEF">
              <w:rPr>
                <w:sz w:val="22"/>
              </w:rPr>
              <w:t>St Julian’s Avenue</w:t>
            </w:r>
          </w:p>
          <w:p w14:paraId="5FE8BFB2" w14:textId="77777777" w:rsidR="008F1BEF" w:rsidRPr="008F1BEF" w:rsidRDefault="008F1BEF" w:rsidP="008F1BEF">
            <w:pPr>
              <w:rPr>
                <w:sz w:val="22"/>
              </w:rPr>
            </w:pPr>
            <w:r w:rsidRPr="008F1BEF">
              <w:rPr>
                <w:sz w:val="22"/>
              </w:rPr>
              <w:t>St Peter Port</w:t>
            </w:r>
          </w:p>
          <w:p w14:paraId="7F0EFD48" w14:textId="77777777" w:rsidR="008F1BEF" w:rsidRPr="008F1BEF" w:rsidRDefault="008F1BEF" w:rsidP="008F1BEF">
            <w:pPr>
              <w:rPr>
                <w:sz w:val="22"/>
              </w:rPr>
            </w:pPr>
            <w:r w:rsidRPr="008F1BEF">
              <w:rPr>
                <w:sz w:val="22"/>
              </w:rPr>
              <w:t>GY1 4HP</w:t>
            </w:r>
          </w:p>
          <w:p w14:paraId="7D17A964" w14:textId="77777777" w:rsidR="008F1BEF" w:rsidRPr="008F1BEF" w:rsidRDefault="008F1BEF" w:rsidP="008F1BEF">
            <w:pPr>
              <w:rPr>
                <w:sz w:val="22"/>
              </w:rPr>
            </w:pPr>
            <w:r w:rsidRPr="008F1BEF">
              <w:rPr>
                <w:sz w:val="22"/>
              </w:rPr>
              <w:t>Guernsey</w:t>
            </w:r>
          </w:p>
          <w:p w14:paraId="0FCA5372" w14:textId="77777777" w:rsidR="008F1BEF" w:rsidRDefault="008F1BEF" w:rsidP="008F1BEF">
            <w:pPr>
              <w:rPr>
                <w:sz w:val="22"/>
              </w:rPr>
            </w:pPr>
          </w:p>
          <w:p w14:paraId="5FF00877" w14:textId="77777777" w:rsidR="00FA49EC" w:rsidRPr="00FA49EC" w:rsidRDefault="00FA49EC" w:rsidP="008F1BEF">
            <w:pPr>
              <w:rPr>
                <w:b/>
                <w:sz w:val="22"/>
              </w:rPr>
            </w:pPr>
            <w:r w:rsidRPr="00FA49EC">
              <w:rPr>
                <w:b/>
                <w:sz w:val="22"/>
              </w:rPr>
              <w:t xml:space="preserve">Trading </w:t>
            </w:r>
            <w:r>
              <w:rPr>
                <w:b/>
                <w:sz w:val="22"/>
              </w:rPr>
              <w:t>A</w:t>
            </w:r>
            <w:r w:rsidRPr="00FA49EC">
              <w:rPr>
                <w:b/>
                <w:sz w:val="22"/>
              </w:rPr>
              <w:t>ddress</w:t>
            </w:r>
          </w:p>
          <w:p w14:paraId="1681A515" w14:textId="77777777" w:rsidR="008F1BEF" w:rsidRPr="008F1BEF" w:rsidRDefault="008F1BEF" w:rsidP="008F1BEF">
            <w:pPr>
              <w:rPr>
                <w:sz w:val="22"/>
              </w:rPr>
            </w:pPr>
            <w:r w:rsidRPr="008F1BEF">
              <w:rPr>
                <w:sz w:val="22"/>
              </w:rPr>
              <w:t>Gemfields Ltd</w:t>
            </w:r>
          </w:p>
          <w:p w14:paraId="06A6E708" w14:textId="77777777" w:rsidR="008F1BEF" w:rsidRPr="008F1BEF" w:rsidRDefault="008F1BEF" w:rsidP="008F1BEF">
            <w:pPr>
              <w:rPr>
                <w:sz w:val="22"/>
              </w:rPr>
            </w:pPr>
            <w:r w:rsidRPr="008F1BEF">
              <w:rPr>
                <w:sz w:val="22"/>
              </w:rPr>
              <w:t>1 Cathedral Piazza</w:t>
            </w:r>
          </w:p>
          <w:p w14:paraId="4BF9CD8F" w14:textId="77777777" w:rsidR="008F1BEF" w:rsidRPr="008F1BEF" w:rsidRDefault="008F1BEF" w:rsidP="008F1BEF">
            <w:pPr>
              <w:rPr>
                <w:sz w:val="22"/>
              </w:rPr>
            </w:pPr>
            <w:r w:rsidRPr="008F1BEF">
              <w:rPr>
                <w:sz w:val="22"/>
              </w:rPr>
              <w:t>London</w:t>
            </w:r>
          </w:p>
          <w:p w14:paraId="494FD4DE" w14:textId="77777777" w:rsidR="005A32A2" w:rsidRPr="008F1BEF" w:rsidRDefault="008F1BEF" w:rsidP="008F1BEF">
            <w:pPr>
              <w:rPr>
                <w:sz w:val="22"/>
              </w:rPr>
            </w:pPr>
            <w:r w:rsidRPr="008F1BEF">
              <w:rPr>
                <w:sz w:val="22"/>
              </w:rPr>
              <w:t>SW1E 5PB</w:t>
            </w:r>
          </w:p>
          <w:p w14:paraId="16A63466" w14:textId="77777777" w:rsidR="003D2BB8" w:rsidRDefault="003D2BB8" w:rsidP="005B4431">
            <w:pPr>
              <w:rPr>
                <w:sz w:val="22"/>
              </w:rPr>
            </w:pPr>
          </w:p>
        </w:tc>
      </w:tr>
      <w:tr w:rsidR="005A32A2" w14:paraId="6FA37080" w14:textId="77777777" w:rsidTr="00257DEF">
        <w:tblPrEx>
          <w:tblCellMar>
            <w:top w:w="0" w:type="dxa"/>
            <w:bottom w:w="0" w:type="dxa"/>
          </w:tblCellMar>
        </w:tblPrEx>
        <w:tc>
          <w:tcPr>
            <w:tcW w:w="9073" w:type="dxa"/>
            <w:shd w:val="pct10" w:color="auto" w:fill="auto"/>
          </w:tcPr>
          <w:p w14:paraId="65BBC5E3" w14:textId="77777777" w:rsidR="005A32A2" w:rsidRDefault="005A32A2" w:rsidP="005B4431">
            <w:pPr>
              <w:rPr>
                <w:sz w:val="22"/>
              </w:rPr>
            </w:pPr>
            <w:r>
              <w:rPr>
                <w:sz w:val="22"/>
              </w:rPr>
              <w:t>COUNTRY OF INCORPORATION:</w:t>
            </w:r>
          </w:p>
        </w:tc>
      </w:tr>
      <w:tr w:rsidR="005A32A2" w14:paraId="357A8496" w14:textId="77777777" w:rsidTr="00257DEF">
        <w:tblPrEx>
          <w:tblCellMar>
            <w:top w:w="0" w:type="dxa"/>
            <w:bottom w:w="0" w:type="dxa"/>
          </w:tblCellMar>
        </w:tblPrEx>
        <w:tc>
          <w:tcPr>
            <w:tcW w:w="9073" w:type="dxa"/>
          </w:tcPr>
          <w:p w14:paraId="6C1FDE66" w14:textId="77777777" w:rsidR="005A32A2" w:rsidRDefault="008F1BEF" w:rsidP="005B4431">
            <w:pPr>
              <w:rPr>
                <w:sz w:val="22"/>
              </w:rPr>
            </w:pPr>
            <w:r w:rsidRPr="008F1BEF">
              <w:rPr>
                <w:sz w:val="22"/>
              </w:rPr>
              <w:t>Guernsey</w:t>
            </w:r>
          </w:p>
          <w:p w14:paraId="1DA3F1A8" w14:textId="77777777" w:rsidR="003D2BB8" w:rsidRDefault="003D2BB8" w:rsidP="005B4431">
            <w:pPr>
              <w:rPr>
                <w:sz w:val="22"/>
              </w:rPr>
            </w:pPr>
          </w:p>
        </w:tc>
      </w:tr>
      <w:tr w:rsidR="008B4B8B" w14:paraId="2082E845" w14:textId="77777777" w:rsidTr="00257DEF">
        <w:tblPrEx>
          <w:tblCellMar>
            <w:top w:w="0" w:type="dxa"/>
            <w:bottom w:w="0" w:type="dxa"/>
          </w:tblCellMar>
        </w:tblPrEx>
        <w:tc>
          <w:tcPr>
            <w:tcW w:w="9073" w:type="dxa"/>
            <w:shd w:val="clear" w:color="auto" w:fill="E0E0E0"/>
          </w:tcPr>
          <w:p w14:paraId="383D3E11" w14:textId="77777777" w:rsidR="008B4B8B" w:rsidRDefault="007F3EF9" w:rsidP="005B4431">
            <w:pPr>
              <w:rPr>
                <w:sz w:val="22"/>
              </w:rPr>
            </w:pPr>
            <w:r>
              <w:rPr>
                <w:sz w:val="22"/>
              </w:rPr>
              <w:t xml:space="preserve">COMPANY </w:t>
            </w:r>
            <w:r w:rsidR="00DF2C1A">
              <w:rPr>
                <w:sz w:val="22"/>
              </w:rPr>
              <w:t>WEBSITE ADDRESS CONTAINING</w:t>
            </w:r>
            <w:r w:rsidR="008B4B8B" w:rsidRPr="007A25E4">
              <w:rPr>
                <w:sz w:val="22"/>
              </w:rPr>
              <w:t xml:space="preserve"> ALL INFORMATION </w:t>
            </w:r>
            <w:r w:rsidR="004D5853">
              <w:rPr>
                <w:sz w:val="22"/>
              </w:rPr>
              <w:t xml:space="preserve">REQUIRED </w:t>
            </w:r>
            <w:r w:rsidR="00027A8D">
              <w:rPr>
                <w:sz w:val="22"/>
              </w:rPr>
              <w:t>BY</w:t>
            </w:r>
            <w:r w:rsidR="004D5853">
              <w:rPr>
                <w:sz w:val="22"/>
              </w:rPr>
              <w:t xml:space="preserve"> AIM RULE 26</w:t>
            </w:r>
            <w:r w:rsidR="006E64B2">
              <w:rPr>
                <w:sz w:val="22"/>
              </w:rPr>
              <w:t>:</w:t>
            </w:r>
          </w:p>
        </w:tc>
      </w:tr>
      <w:tr w:rsidR="008B4B8B" w14:paraId="6F428983" w14:textId="77777777" w:rsidTr="00257DEF">
        <w:tblPrEx>
          <w:tblCellMar>
            <w:top w:w="0" w:type="dxa"/>
            <w:bottom w:w="0" w:type="dxa"/>
          </w:tblCellMar>
        </w:tblPrEx>
        <w:tc>
          <w:tcPr>
            <w:tcW w:w="9073" w:type="dxa"/>
          </w:tcPr>
          <w:p w14:paraId="59156D97" w14:textId="77777777" w:rsidR="008B4B8B" w:rsidRDefault="008B4B8B" w:rsidP="005B4431">
            <w:pPr>
              <w:rPr>
                <w:sz w:val="22"/>
              </w:rPr>
            </w:pPr>
          </w:p>
          <w:p w14:paraId="261A217C" w14:textId="77777777" w:rsidR="003D2BB8" w:rsidRDefault="00773E1F" w:rsidP="005B4431">
            <w:pPr>
              <w:rPr>
                <w:sz w:val="22"/>
              </w:rPr>
            </w:pPr>
            <w:r>
              <w:rPr>
                <w:sz w:val="22"/>
              </w:rPr>
              <w:t>www.gemfieldsgroup.com</w:t>
            </w:r>
          </w:p>
          <w:p w14:paraId="53834D8A" w14:textId="77777777" w:rsidR="008F1BEF" w:rsidRDefault="008F1BEF" w:rsidP="005B4431">
            <w:pPr>
              <w:rPr>
                <w:sz w:val="22"/>
              </w:rPr>
            </w:pPr>
          </w:p>
        </w:tc>
      </w:tr>
      <w:tr w:rsidR="00A163ED" w14:paraId="7C65CCE9" w14:textId="77777777" w:rsidTr="00257DEF">
        <w:tblPrEx>
          <w:tblCellMar>
            <w:top w:w="0" w:type="dxa"/>
            <w:bottom w:w="0" w:type="dxa"/>
          </w:tblCellMar>
        </w:tblPrEx>
        <w:tc>
          <w:tcPr>
            <w:tcW w:w="9073" w:type="dxa"/>
            <w:shd w:val="pct10" w:color="auto" w:fill="auto"/>
          </w:tcPr>
          <w:p w14:paraId="66A25362" w14:textId="77777777" w:rsidR="00A163ED" w:rsidRDefault="00A163ED" w:rsidP="005B4431">
            <w:pPr>
              <w:rPr>
                <w:sz w:val="22"/>
              </w:rPr>
            </w:pPr>
            <w:r>
              <w:rPr>
                <w:sz w:val="22"/>
              </w:rPr>
              <w:t>COMPANY BUSINESS</w:t>
            </w:r>
            <w:r w:rsidR="00DF2C1A">
              <w:rPr>
                <w:sz w:val="22"/>
              </w:rPr>
              <w:t xml:space="preserve"> (INCLUDING </w:t>
            </w:r>
            <w:r w:rsidR="00DF2C1A" w:rsidRPr="00BD13AB">
              <w:rPr>
                <w:sz w:val="22"/>
                <w:u w:val="single"/>
              </w:rPr>
              <w:t>MAIN COUNTRY OF OPERATION</w:t>
            </w:r>
            <w:r w:rsidR="00DF2C1A">
              <w:rPr>
                <w:sz w:val="22"/>
              </w:rPr>
              <w:t>)</w:t>
            </w:r>
            <w:r w:rsidR="0010572A">
              <w:rPr>
                <w:sz w:val="22"/>
              </w:rPr>
              <w:t xml:space="preserve"> OR</w:t>
            </w:r>
            <w:r w:rsidR="00093A57">
              <w:rPr>
                <w:sz w:val="22"/>
              </w:rPr>
              <w:t>,</w:t>
            </w:r>
            <w:r w:rsidR="0010572A">
              <w:rPr>
                <w:sz w:val="22"/>
              </w:rPr>
              <w:t xml:space="preserve"> IN THE CASE OF AN </w:t>
            </w:r>
            <w:r w:rsidR="0010572A" w:rsidRPr="00BD13AB">
              <w:rPr>
                <w:sz w:val="22"/>
                <w:u w:val="single"/>
              </w:rPr>
              <w:t xml:space="preserve">INVESTING </w:t>
            </w:r>
            <w:r w:rsidR="00E953FF">
              <w:rPr>
                <w:sz w:val="22"/>
                <w:u w:val="single"/>
              </w:rPr>
              <w:t>COMPANY</w:t>
            </w:r>
            <w:r w:rsidR="00F561AE">
              <w:rPr>
                <w:sz w:val="22"/>
              </w:rPr>
              <w:t xml:space="preserve">, DETAILS OF ITS </w:t>
            </w:r>
            <w:r w:rsidR="00F561AE" w:rsidRPr="00BD13AB">
              <w:rPr>
                <w:sz w:val="22"/>
                <w:u w:val="single"/>
              </w:rPr>
              <w:t>INVESTING</w:t>
            </w:r>
            <w:r w:rsidR="00E953FF">
              <w:rPr>
                <w:sz w:val="22"/>
                <w:u w:val="single"/>
              </w:rPr>
              <w:t xml:space="preserve"> POLICY</w:t>
            </w:r>
            <w:r w:rsidR="00F561AE">
              <w:rPr>
                <w:sz w:val="22"/>
              </w:rPr>
              <w:t>)</w:t>
            </w:r>
            <w:r w:rsidR="006E64B2">
              <w:rPr>
                <w:sz w:val="22"/>
              </w:rPr>
              <w:t xml:space="preserve">. </w:t>
            </w:r>
            <w:r w:rsidR="00BD13AB">
              <w:rPr>
                <w:sz w:val="22"/>
              </w:rPr>
              <w:t xml:space="preserve"> </w:t>
            </w:r>
            <w:r w:rsidR="006E64B2">
              <w:rPr>
                <w:sz w:val="22"/>
              </w:rPr>
              <w:t xml:space="preserve">IF THE </w:t>
            </w:r>
            <w:r w:rsidR="006E64B2" w:rsidRPr="00BD13AB">
              <w:rPr>
                <w:sz w:val="22"/>
                <w:u w:val="single"/>
              </w:rPr>
              <w:t>ADMISSION</w:t>
            </w:r>
            <w:r w:rsidR="006E64B2">
              <w:rPr>
                <w:sz w:val="22"/>
              </w:rPr>
              <w:t xml:space="preserve"> IS SOUGHT AS A RESULT OF A REVERSE TAKE-OVER UNDER RULE 14, THIS SHOULD BE STATED:</w:t>
            </w:r>
          </w:p>
        </w:tc>
      </w:tr>
      <w:tr w:rsidR="00A163ED" w14:paraId="2F86725B" w14:textId="77777777" w:rsidTr="00257DEF">
        <w:tblPrEx>
          <w:tblCellMar>
            <w:top w:w="0" w:type="dxa"/>
            <w:bottom w:w="0" w:type="dxa"/>
          </w:tblCellMar>
        </w:tblPrEx>
        <w:tc>
          <w:tcPr>
            <w:tcW w:w="9073" w:type="dxa"/>
          </w:tcPr>
          <w:p w14:paraId="6872FF94" w14:textId="77777777" w:rsidR="003D2BB8" w:rsidRDefault="003D2BB8" w:rsidP="008C689A">
            <w:pPr>
              <w:rPr>
                <w:sz w:val="22"/>
              </w:rPr>
            </w:pPr>
          </w:p>
          <w:p w14:paraId="1EC3B133" w14:textId="77777777" w:rsidR="00E26385" w:rsidRPr="00E26385" w:rsidRDefault="00E26385" w:rsidP="00E26385">
            <w:pPr>
              <w:rPr>
                <w:sz w:val="22"/>
              </w:rPr>
            </w:pPr>
            <w:r w:rsidRPr="00E26385">
              <w:rPr>
                <w:sz w:val="22"/>
              </w:rPr>
              <w:t xml:space="preserve">Gemfields is a world-leading supplier of responsibly sourced, coloured gemstones. The Group is Africa-focussed and is the market leader in the mining, grading, marketing and selling of </w:t>
            </w:r>
            <w:r w:rsidR="00F97D68">
              <w:rPr>
                <w:sz w:val="22"/>
              </w:rPr>
              <w:t xml:space="preserve">precious </w:t>
            </w:r>
            <w:r w:rsidRPr="00E26385">
              <w:rPr>
                <w:sz w:val="22"/>
              </w:rPr>
              <w:t xml:space="preserve">coloured gemstones. The Group’s key producing assets </w:t>
            </w:r>
            <w:proofErr w:type="gramStart"/>
            <w:r w:rsidRPr="00E26385">
              <w:rPr>
                <w:sz w:val="22"/>
              </w:rPr>
              <w:t>are located in</w:t>
            </w:r>
            <w:proofErr w:type="gramEnd"/>
            <w:r w:rsidRPr="00E26385">
              <w:rPr>
                <w:sz w:val="22"/>
              </w:rPr>
              <w:t xml:space="preserve"> Zambia (emerald and beryl) and Mozambique (rubies). The Kagem mine in Zambia is believed to be the world’s largest producing emerald mine and is estimated to account for more than one fifth of the world’s total production of emeralds. Similarly, the MRM ruby mine in Mozambique is recognised as the largest ruby producing mine in the world and the Group owns rights to additional concessions in the same region of Mozambique which provide exploration upside. The Group has a controlling 75% interest in both Kagem and MRM and is the operator of both assets. </w:t>
            </w:r>
          </w:p>
          <w:p w14:paraId="5471C299" w14:textId="77777777" w:rsidR="00E26385" w:rsidRPr="00E26385" w:rsidRDefault="00E26385" w:rsidP="00E26385">
            <w:pPr>
              <w:rPr>
                <w:sz w:val="22"/>
              </w:rPr>
            </w:pPr>
          </w:p>
          <w:p w14:paraId="2B4355F4" w14:textId="77777777" w:rsidR="00E26385" w:rsidRPr="00E26385" w:rsidRDefault="00E26385" w:rsidP="00E26385">
            <w:pPr>
              <w:rPr>
                <w:sz w:val="22"/>
              </w:rPr>
            </w:pPr>
            <w:r w:rsidRPr="00E26385">
              <w:rPr>
                <w:sz w:val="22"/>
              </w:rPr>
              <w:t xml:space="preserve">Gemfields has developed a proprietary grading system for emeralds and rubies together with a pioneering auction platform </w:t>
            </w:r>
            <w:proofErr w:type="gramStart"/>
            <w:r w:rsidRPr="00E26385">
              <w:rPr>
                <w:sz w:val="22"/>
              </w:rPr>
              <w:t>so as to</w:t>
            </w:r>
            <w:proofErr w:type="gramEnd"/>
            <w:r w:rsidRPr="00E26385">
              <w:rPr>
                <w:sz w:val="22"/>
              </w:rPr>
              <w:t xml:space="preserve"> provide a consistent supply of coloured gemstones to downstream markets. In addition to the gemstone mining and production assets the Group also owns and operates the Fabergé brand, one of the world’s most recognisable luxury brands. Fabergé provides the Group with direct access to the coloured gemstone end-consumer and the brand is focussed on the promotion of the desirability of coloured gemstones through its jewellery, timepieces and objects. </w:t>
            </w:r>
          </w:p>
          <w:p w14:paraId="51453A78" w14:textId="77777777" w:rsidR="00E26385" w:rsidRPr="00E26385" w:rsidRDefault="00E26385" w:rsidP="00E26385">
            <w:pPr>
              <w:rPr>
                <w:sz w:val="22"/>
              </w:rPr>
            </w:pPr>
          </w:p>
          <w:p w14:paraId="67E0FCB6" w14:textId="77777777" w:rsidR="00E26385" w:rsidRPr="00E26385" w:rsidRDefault="00E26385" w:rsidP="00E26385">
            <w:pPr>
              <w:rPr>
                <w:sz w:val="22"/>
              </w:rPr>
            </w:pPr>
            <w:r w:rsidRPr="00E26385">
              <w:rPr>
                <w:sz w:val="22"/>
              </w:rPr>
              <w:t>The Group currently has a primary listing on the Johannesburg Stock Exchange and a secondary listing on the Bermuda Stock Exchange.</w:t>
            </w:r>
          </w:p>
          <w:p w14:paraId="3D4BBA45" w14:textId="77777777" w:rsidR="00E26385" w:rsidRDefault="00E26385" w:rsidP="008C689A">
            <w:pPr>
              <w:rPr>
                <w:sz w:val="22"/>
              </w:rPr>
            </w:pPr>
          </w:p>
          <w:p w14:paraId="1D35AEFA" w14:textId="77777777" w:rsidR="00E26385" w:rsidRDefault="00E26385" w:rsidP="008C689A">
            <w:pPr>
              <w:rPr>
                <w:sz w:val="22"/>
              </w:rPr>
            </w:pPr>
          </w:p>
        </w:tc>
      </w:tr>
      <w:tr w:rsidR="00A163ED" w14:paraId="006BF433" w14:textId="77777777" w:rsidTr="00257DEF">
        <w:tblPrEx>
          <w:tblCellMar>
            <w:top w:w="0" w:type="dxa"/>
            <w:bottom w:w="0" w:type="dxa"/>
          </w:tblCellMar>
        </w:tblPrEx>
        <w:tc>
          <w:tcPr>
            <w:tcW w:w="9073" w:type="dxa"/>
            <w:shd w:val="pct10" w:color="auto" w:fill="auto"/>
          </w:tcPr>
          <w:p w14:paraId="53DDD61D" w14:textId="77777777" w:rsidR="00A163ED" w:rsidRDefault="00A163ED" w:rsidP="005B4431">
            <w:pPr>
              <w:rPr>
                <w:sz w:val="22"/>
              </w:rPr>
            </w:pPr>
            <w:r>
              <w:rPr>
                <w:sz w:val="22"/>
              </w:rPr>
              <w:lastRenderedPageBreak/>
              <w:t xml:space="preserve">DETAILS OF SECURITIES TO BE ADMITTED </w:t>
            </w:r>
            <w:r w:rsidR="009B6D5A">
              <w:rPr>
                <w:sz w:val="22"/>
              </w:rPr>
              <w:t xml:space="preserve">INCLUDING ANY </w:t>
            </w:r>
            <w:r w:rsidR="009B6D5A" w:rsidRPr="00BD13AB">
              <w:rPr>
                <w:sz w:val="22"/>
                <w:u w:val="single"/>
              </w:rPr>
              <w:t>RESTRICTIONS AS TO TRANSFER</w:t>
            </w:r>
            <w:r w:rsidR="009B6D5A">
              <w:rPr>
                <w:sz w:val="22"/>
              </w:rPr>
              <w:t xml:space="preserve"> OF THE SECURITIES </w:t>
            </w:r>
            <w:r>
              <w:rPr>
                <w:sz w:val="22"/>
              </w:rPr>
              <w:t xml:space="preserve">(i.e. where known, number </w:t>
            </w:r>
            <w:r w:rsidR="00607428">
              <w:rPr>
                <w:sz w:val="22"/>
              </w:rPr>
              <w:t xml:space="preserve">and type </w:t>
            </w:r>
            <w:r>
              <w:rPr>
                <w:sz w:val="22"/>
              </w:rPr>
              <w:t>of shares, nominal value and issue price to which it seeks admission and the number and type to be held as treasury shares</w:t>
            </w:r>
            <w:r w:rsidR="00A6281F">
              <w:rPr>
                <w:sz w:val="22"/>
              </w:rPr>
              <w:t>)</w:t>
            </w:r>
            <w:r>
              <w:rPr>
                <w:sz w:val="22"/>
              </w:rPr>
              <w:t>:</w:t>
            </w:r>
          </w:p>
        </w:tc>
      </w:tr>
      <w:tr w:rsidR="00F96607" w14:paraId="08C9FE8A" w14:textId="77777777" w:rsidTr="00257DEF">
        <w:tblPrEx>
          <w:tblCellMar>
            <w:top w:w="0" w:type="dxa"/>
            <w:bottom w:w="0" w:type="dxa"/>
          </w:tblCellMar>
        </w:tblPrEx>
        <w:tc>
          <w:tcPr>
            <w:tcW w:w="9073" w:type="dxa"/>
          </w:tcPr>
          <w:p w14:paraId="4883FDF3" w14:textId="77777777" w:rsidR="00F96607" w:rsidRPr="008F1BEF" w:rsidRDefault="005D0138" w:rsidP="00F96607">
            <w:pPr>
              <w:rPr>
                <w:sz w:val="22"/>
              </w:rPr>
            </w:pPr>
            <w:r w:rsidRPr="005D0138">
              <w:rPr>
                <w:sz w:val="22"/>
              </w:rPr>
              <w:t>1,267,450,245</w:t>
            </w:r>
            <w:r w:rsidR="000C612D">
              <w:rPr>
                <w:sz w:val="22"/>
              </w:rPr>
              <w:t>*</w:t>
            </w:r>
            <w:r>
              <w:rPr>
                <w:sz w:val="22"/>
              </w:rPr>
              <w:t xml:space="preserve"> </w:t>
            </w:r>
            <w:r w:rsidR="00F96607" w:rsidRPr="008F1BEF">
              <w:rPr>
                <w:sz w:val="22"/>
              </w:rPr>
              <w:t>ordinary shares (“Ordinary Shares”)</w:t>
            </w:r>
          </w:p>
          <w:p w14:paraId="0AB240AD" w14:textId="77777777" w:rsidR="00F96607" w:rsidRPr="008F1BEF" w:rsidRDefault="00F96607" w:rsidP="00F96607">
            <w:pPr>
              <w:rPr>
                <w:sz w:val="22"/>
              </w:rPr>
            </w:pPr>
          </w:p>
          <w:p w14:paraId="7367F347" w14:textId="77777777" w:rsidR="00F96607" w:rsidRPr="008F1BEF" w:rsidRDefault="00F96607" w:rsidP="00F96607">
            <w:pPr>
              <w:rPr>
                <w:sz w:val="22"/>
              </w:rPr>
            </w:pPr>
            <w:r w:rsidRPr="008F1BEF">
              <w:rPr>
                <w:sz w:val="22"/>
              </w:rPr>
              <w:t xml:space="preserve">Of which: </w:t>
            </w:r>
          </w:p>
          <w:p w14:paraId="75ECE11A" w14:textId="77777777" w:rsidR="00F96607" w:rsidRPr="008F1BEF" w:rsidRDefault="00F96607" w:rsidP="00F96607">
            <w:pPr>
              <w:rPr>
                <w:sz w:val="22"/>
              </w:rPr>
            </w:pPr>
            <w:r w:rsidRPr="008F1BEF">
              <w:rPr>
                <w:sz w:val="22"/>
              </w:rPr>
              <w:t>•</w:t>
            </w:r>
            <w:r w:rsidRPr="008F1BEF">
              <w:rPr>
                <w:sz w:val="22"/>
              </w:rPr>
              <w:tab/>
              <w:t xml:space="preserve">Ordinary Shares held by </w:t>
            </w:r>
            <w:r w:rsidR="006F39CD">
              <w:rPr>
                <w:sz w:val="22"/>
              </w:rPr>
              <w:t xml:space="preserve">a </w:t>
            </w:r>
            <w:proofErr w:type="gramStart"/>
            <w:r w:rsidR="006F39CD">
              <w:rPr>
                <w:sz w:val="22"/>
              </w:rPr>
              <w:t>wholly-owned</w:t>
            </w:r>
            <w:proofErr w:type="gramEnd"/>
            <w:r w:rsidR="006F39CD">
              <w:rPr>
                <w:sz w:val="22"/>
              </w:rPr>
              <w:t xml:space="preserve"> subsidiary </w:t>
            </w:r>
            <w:r w:rsidR="00A95F71">
              <w:rPr>
                <w:sz w:val="22"/>
              </w:rPr>
              <w:t xml:space="preserve">of </w:t>
            </w:r>
            <w:r w:rsidRPr="008F1BEF">
              <w:rPr>
                <w:sz w:val="22"/>
              </w:rPr>
              <w:t>the Company (with no voting rights): 96,276,146 (</w:t>
            </w:r>
            <w:r w:rsidR="00DD110C">
              <w:rPr>
                <w:sz w:val="22"/>
              </w:rPr>
              <w:t>7.</w:t>
            </w:r>
            <w:r w:rsidR="00F3331C">
              <w:rPr>
                <w:sz w:val="22"/>
              </w:rPr>
              <w:t>60</w:t>
            </w:r>
            <w:r w:rsidRPr="008F1BEF">
              <w:rPr>
                <w:sz w:val="22"/>
              </w:rPr>
              <w:t>%)</w:t>
            </w:r>
            <w:r w:rsidR="00DD110C">
              <w:rPr>
                <w:sz w:val="22"/>
              </w:rPr>
              <w:t xml:space="preserve"> </w:t>
            </w:r>
          </w:p>
          <w:p w14:paraId="1B849B75" w14:textId="77777777" w:rsidR="00F96607" w:rsidRPr="008F1BEF" w:rsidRDefault="00F96607" w:rsidP="00F96607">
            <w:pPr>
              <w:rPr>
                <w:sz w:val="22"/>
              </w:rPr>
            </w:pPr>
            <w:r w:rsidRPr="008F1BEF">
              <w:rPr>
                <w:sz w:val="22"/>
              </w:rPr>
              <w:t>•</w:t>
            </w:r>
            <w:r w:rsidRPr="008F1BEF">
              <w:rPr>
                <w:sz w:val="22"/>
              </w:rPr>
              <w:tab/>
              <w:t>Total issued number of Ordinary Shares (with voting rights):</w:t>
            </w:r>
            <w:r w:rsidR="00DD110C">
              <w:rPr>
                <w:sz w:val="22"/>
              </w:rPr>
              <w:t xml:space="preserve"> </w:t>
            </w:r>
            <w:r w:rsidR="005D0138" w:rsidRPr="005D0138">
              <w:rPr>
                <w:sz w:val="22"/>
              </w:rPr>
              <w:t>1,171,174,099</w:t>
            </w:r>
          </w:p>
          <w:p w14:paraId="494C9877" w14:textId="77777777" w:rsidR="00F96607" w:rsidRPr="008F1BEF" w:rsidRDefault="00F96607" w:rsidP="00F96607">
            <w:pPr>
              <w:rPr>
                <w:sz w:val="22"/>
              </w:rPr>
            </w:pPr>
          </w:p>
          <w:p w14:paraId="1A81F994" w14:textId="77777777" w:rsidR="00F96607" w:rsidRDefault="00F96607" w:rsidP="00F96607">
            <w:pPr>
              <w:rPr>
                <w:sz w:val="22"/>
              </w:rPr>
            </w:pPr>
            <w:r w:rsidRPr="008F1BEF">
              <w:rPr>
                <w:sz w:val="22"/>
              </w:rPr>
              <w:t>No restrictions as to the transfer of securities</w:t>
            </w:r>
            <w:r w:rsidR="00A95F71">
              <w:rPr>
                <w:sz w:val="22"/>
              </w:rPr>
              <w:t>.</w:t>
            </w:r>
          </w:p>
          <w:p w14:paraId="07506F45" w14:textId="77777777" w:rsidR="000C612D" w:rsidRDefault="000C612D" w:rsidP="00F96607">
            <w:pPr>
              <w:rPr>
                <w:sz w:val="22"/>
              </w:rPr>
            </w:pPr>
          </w:p>
          <w:p w14:paraId="33C96F00" w14:textId="77777777" w:rsidR="000C612D" w:rsidRPr="000C612D" w:rsidRDefault="000C612D" w:rsidP="00F96607">
            <w:pPr>
              <w:rPr>
                <w:i/>
                <w:sz w:val="22"/>
              </w:rPr>
            </w:pPr>
            <w:r w:rsidRPr="000C612D">
              <w:rPr>
                <w:i/>
                <w:sz w:val="22"/>
              </w:rPr>
              <w:t>*the Company is in the process of buying back shares pursuant to a closed period buyback mandate, lodged with the JSE on 19 December 2019, and, therefore, the stated issued share capital may be up to 100,000,000 shares lower at the date of Admission, depending on the extent to which the buy-back mandate is fulfilled.</w:t>
            </w:r>
          </w:p>
          <w:p w14:paraId="51B43109" w14:textId="77777777" w:rsidR="00F96607" w:rsidRDefault="00F96607" w:rsidP="00F96607">
            <w:pPr>
              <w:rPr>
                <w:sz w:val="22"/>
              </w:rPr>
            </w:pPr>
          </w:p>
        </w:tc>
      </w:tr>
      <w:tr w:rsidR="00A163ED" w14:paraId="73A09F27" w14:textId="77777777" w:rsidTr="00257DEF">
        <w:tblPrEx>
          <w:tblCellMar>
            <w:top w:w="0" w:type="dxa"/>
            <w:bottom w:w="0" w:type="dxa"/>
          </w:tblCellMar>
        </w:tblPrEx>
        <w:tc>
          <w:tcPr>
            <w:tcW w:w="9073" w:type="dxa"/>
            <w:shd w:val="pct10" w:color="auto" w:fill="auto"/>
          </w:tcPr>
          <w:p w14:paraId="4836A68F" w14:textId="77777777" w:rsidR="00A163ED" w:rsidRDefault="00A163ED" w:rsidP="00727462">
            <w:pPr>
              <w:rPr>
                <w:sz w:val="22"/>
              </w:rPr>
            </w:pPr>
            <w:r>
              <w:rPr>
                <w:sz w:val="22"/>
              </w:rPr>
              <w:t>CAPITAL TO BE RAISED ON ADMISSION</w:t>
            </w:r>
            <w:r w:rsidR="00514CD7">
              <w:rPr>
                <w:sz w:val="22"/>
              </w:rPr>
              <w:t xml:space="preserve"> (</w:t>
            </w:r>
            <w:r w:rsidR="002C7F34">
              <w:rPr>
                <w:sz w:val="22"/>
              </w:rPr>
              <w:t xml:space="preserve">AND/OR SECONDARY </w:t>
            </w:r>
            <w:r w:rsidR="00727462">
              <w:rPr>
                <w:sz w:val="22"/>
              </w:rPr>
              <w:t>OFFERING</w:t>
            </w:r>
            <w:r w:rsidR="00514CD7">
              <w:rPr>
                <w:sz w:val="22"/>
              </w:rPr>
              <w:t xml:space="preserve">) </w:t>
            </w:r>
            <w:r w:rsidR="00071B01">
              <w:rPr>
                <w:sz w:val="22"/>
              </w:rPr>
              <w:t>AND</w:t>
            </w:r>
            <w:r w:rsidR="00514CD7">
              <w:rPr>
                <w:sz w:val="22"/>
              </w:rPr>
              <w:t xml:space="preserve"> </w:t>
            </w:r>
            <w:r w:rsidR="009B6D5A">
              <w:rPr>
                <w:sz w:val="22"/>
              </w:rPr>
              <w:t>ANTICIPATED</w:t>
            </w:r>
            <w:r w:rsidR="00514CD7">
              <w:rPr>
                <w:sz w:val="22"/>
              </w:rPr>
              <w:t xml:space="preserve"> MARKET CAPITALISATION ON ADMISSION</w:t>
            </w:r>
            <w:r>
              <w:rPr>
                <w:sz w:val="22"/>
              </w:rPr>
              <w:t>:</w:t>
            </w:r>
          </w:p>
        </w:tc>
      </w:tr>
      <w:tr w:rsidR="00A163ED" w14:paraId="5BC5517F" w14:textId="77777777" w:rsidTr="00257DEF">
        <w:tblPrEx>
          <w:tblCellMar>
            <w:top w:w="0" w:type="dxa"/>
            <w:bottom w:w="0" w:type="dxa"/>
          </w:tblCellMar>
        </w:tblPrEx>
        <w:tc>
          <w:tcPr>
            <w:tcW w:w="9073" w:type="dxa"/>
          </w:tcPr>
          <w:p w14:paraId="740687E3" w14:textId="77777777" w:rsidR="00A163ED" w:rsidRDefault="008F1BEF" w:rsidP="005B4431">
            <w:pPr>
              <w:rPr>
                <w:sz w:val="22"/>
              </w:rPr>
            </w:pPr>
            <w:r>
              <w:rPr>
                <w:sz w:val="22"/>
              </w:rPr>
              <w:t>N/A – No capital to be raised</w:t>
            </w:r>
          </w:p>
          <w:p w14:paraId="3997FEE2" w14:textId="77777777" w:rsidR="008F1BEF" w:rsidRDefault="008F1BEF" w:rsidP="005B4431">
            <w:pPr>
              <w:rPr>
                <w:sz w:val="22"/>
              </w:rPr>
            </w:pPr>
            <w:r>
              <w:rPr>
                <w:sz w:val="22"/>
              </w:rPr>
              <w:t xml:space="preserve">Market </w:t>
            </w:r>
            <w:r w:rsidR="00A95F71">
              <w:rPr>
                <w:sz w:val="22"/>
              </w:rPr>
              <w:t>c</w:t>
            </w:r>
            <w:r>
              <w:rPr>
                <w:sz w:val="22"/>
              </w:rPr>
              <w:t xml:space="preserve">apitalisation on admission of </w:t>
            </w:r>
            <w:r w:rsidR="00344C93">
              <w:rPr>
                <w:sz w:val="22"/>
              </w:rPr>
              <w:t xml:space="preserve">approximately </w:t>
            </w:r>
            <w:r>
              <w:rPr>
                <w:sz w:val="22"/>
              </w:rPr>
              <w:t>£</w:t>
            </w:r>
            <w:r w:rsidR="00416DEF">
              <w:rPr>
                <w:sz w:val="22"/>
              </w:rPr>
              <w:t>1</w:t>
            </w:r>
            <w:r w:rsidR="007A25CC">
              <w:rPr>
                <w:sz w:val="22"/>
              </w:rPr>
              <w:t>22</w:t>
            </w:r>
            <w:r>
              <w:rPr>
                <w:sz w:val="22"/>
              </w:rPr>
              <w:t xml:space="preserve">m </w:t>
            </w:r>
          </w:p>
          <w:p w14:paraId="171A01D7" w14:textId="77777777" w:rsidR="003D2BB8" w:rsidRDefault="003D2BB8" w:rsidP="005B4431">
            <w:pPr>
              <w:rPr>
                <w:sz w:val="22"/>
              </w:rPr>
            </w:pPr>
          </w:p>
        </w:tc>
      </w:tr>
      <w:tr w:rsidR="00A2314C" w14:paraId="5D36C3D9" w14:textId="77777777" w:rsidTr="00257DEF">
        <w:tblPrEx>
          <w:tblCellMar>
            <w:top w:w="0" w:type="dxa"/>
            <w:bottom w:w="0" w:type="dxa"/>
          </w:tblCellMar>
        </w:tblPrEx>
        <w:tc>
          <w:tcPr>
            <w:tcW w:w="9073" w:type="dxa"/>
            <w:shd w:val="clear" w:color="auto" w:fill="E0E0E0"/>
          </w:tcPr>
          <w:p w14:paraId="3BD45E69" w14:textId="77777777" w:rsidR="00A2314C" w:rsidRDefault="00607428" w:rsidP="005B4431">
            <w:pPr>
              <w:rPr>
                <w:sz w:val="22"/>
              </w:rPr>
            </w:pPr>
            <w:r>
              <w:rPr>
                <w:sz w:val="22"/>
              </w:rPr>
              <w:t>PERCENTAGE OF</w:t>
            </w:r>
            <w:r w:rsidR="00A2314C" w:rsidRPr="00A6281F">
              <w:rPr>
                <w:sz w:val="22"/>
              </w:rPr>
              <w:t xml:space="preserve"> AIM SECURITIES </w:t>
            </w:r>
            <w:r w:rsidR="00A2314C" w:rsidRPr="00BD13AB">
              <w:rPr>
                <w:sz w:val="22"/>
                <w:u w:val="single"/>
              </w:rPr>
              <w:t xml:space="preserve">NOT IN PUBLIC HANDS AT </w:t>
            </w:r>
            <w:r w:rsidR="006E64B2" w:rsidRPr="00BD13AB">
              <w:rPr>
                <w:sz w:val="22"/>
                <w:u w:val="single"/>
              </w:rPr>
              <w:t>ADMISSION</w:t>
            </w:r>
            <w:r w:rsidR="00F561AE">
              <w:rPr>
                <w:sz w:val="22"/>
              </w:rPr>
              <w:t>:</w:t>
            </w:r>
          </w:p>
        </w:tc>
      </w:tr>
      <w:tr w:rsidR="006E64B2" w14:paraId="061CACD1" w14:textId="77777777" w:rsidTr="00257DEF">
        <w:tblPrEx>
          <w:tblCellMar>
            <w:top w:w="0" w:type="dxa"/>
            <w:bottom w:w="0" w:type="dxa"/>
          </w:tblCellMar>
        </w:tblPrEx>
        <w:tc>
          <w:tcPr>
            <w:tcW w:w="9073" w:type="dxa"/>
          </w:tcPr>
          <w:p w14:paraId="190456A4" w14:textId="77777777" w:rsidR="008F1BEF" w:rsidRDefault="00B423A1" w:rsidP="005B4431">
            <w:pPr>
              <w:rPr>
                <w:sz w:val="22"/>
              </w:rPr>
            </w:pPr>
            <w:r>
              <w:rPr>
                <w:sz w:val="22"/>
              </w:rPr>
              <w:t>27.57</w:t>
            </w:r>
            <w:r w:rsidR="00F3331C">
              <w:rPr>
                <w:sz w:val="22"/>
              </w:rPr>
              <w:t>%</w:t>
            </w:r>
          </w:p>
          <w:p w14:paraId="567CA040" w14:textId="77777777" w:rsidR="00BB273E" w:rsidRDefault="00BB273E" w:rsidP="005B4431">
            <w:pPr>
              <w:rPr>
                <w:sz w:val="22"/>
              </w:rPr>
            </w:pPr>
          </w:p>
        </w:tc>
      </w:tr>
      <w:tr w:rsidR="006E64B2" w14:paraId="4E4E7E7A" w14:textId="77777777" w:rsidTr="00257DEF">
        <w:tblPrEx>
          <w:tblCellMar>
            <w:top w:w="0" w:type="dxa"/>
            <w:bottom w:w="0" w:type="dxa"/>
          </w:tblCellMar>
        </w:tblPrEx>
        <w:tc>
          <w:tcPr>
            <w:tcW w:w="9073" w:type="dxa"/>
            <w:shd w:val="clear" w:color="auto" w:fill="E0E0E0"/>
          </w:tcPr>
          <w:p w14:paraId="151E812E" w14:textId="77777777" w:rsidR="006E64B2" w:rsidRDefault="006E64B2" w:rsidP="005B4431">
            <w:pPr>
              <w:rPr>
                <w:sz w:val="22"/>
              </w:rPr>
            </w:pPr>
            <w:r w:rsidRPr="00BD13AB">
              <w:rPr>
                <w:sz w:val="22"/>
                <w:u w:val="single"/>
              </w:rPr>
              <w:t>DETAILS OF ANY OTHER EXCHANGE OR TRADING PLATFORM</w:t>
            </w:r>
            <w:r w:rsidRPr="002C2CA0">
              <w:rPr>
                <w:sz w:val="22"/>
              </w:rPr>
              <w:t xml:space="preserve"> </w:t>
            </w:r>
            <w:r w:rsidR="00607428">
              <w:rPr>
                <w:sz w:val="22"/>
              </w:rPr>
              <w:t>TO</w:t>
            </w:r>
            <w:r w:rsidRPr="002C2CA0">
              <w:rPr>
                <w:sz w:val="22"/>
              </w:rPr>
              <w:t xml:space="preserve"> WHICH THE AIM SECURITIES </w:t>
            </w:r>
            <w:r w:rsidR="00607428">
              <w:rPr>
                <w:sz w:val="22"/>
              </w:rPr>
              <w:t xml:space="preserve">(OR OTHER SECURITIES OF THE COMPANY) </w:t>
            </w:r>
            <w:r w:rsidRPr="002C2CA0">
              <w:rPr>
                <w:sz w:val="22"/>
              </w:rPr>
              <w:t>ARE OR WILL BE ADMITTED OR TRADED:</w:t>
            </w:r>
          </w:p>
        </w:tc>
      </w:tr>
      <w:tr w:rsidR="00A2314C" w14:paraId="18C9DEAF" w14:textId="77777777" w:rsidTr="00257DEF">
        <w:tblPrEx>
          <w:tblCellMar>
            <w:top w:w="0" w:type="dxa"/>
            <w:bottom w:w="0" w:type="dxa"/>
          </w:tblCellMar>
        </w:tblPrEx>
        <w:tc>
          <w:tcPr>
            <w:tcW w:w="9073" w:type="dxa"/>
          </w:tcPr>
          <w:p w14:paraId="3456F413" w14:textId="77777777" w:rsidR="00A2314C" w:rsidRDefault="008F1BEF" w:rsidP="003A057F">
            <w:pPr>
              <w:jc w:val="both"/>
              <w:rPr>
                <w:sz w:val="22"/>
              </w:rPr>
            </w:pPr>
            <w:r w:rsidRPr="008F1BEF">
              <w:rPr>
                <w:sz w:val="22"/>
              </w:rPr>
              <w:t xml:space="preserve">Gemfields’ primary listing is on the Johannesburg Stock Exchange (“JSE”) and its secondary listing is currently on the Bermuda Stock Exchange (“BSX”). The Company will be </w:t>
            </w:r>
            <w:r w:rsidR="00A95F71">
              <w:rPr>
                <w:sz w:val="22"/>
              </w:rPr>
              <w:t xml:space="preserve">exploring options for </w:t>
            </w:r>
            <w:r w:rsidRPr="008F1BEF">
              <w:rPr>
                <w:sz w:val="22"/>
              </w:rPr>
              <w:t xml:space="preserve">its BSX listing </w:t>
            </w:r>
            <w:r w:rsidR="006F39CD">
              <w:rPr>
                <w:sz w:val="22"/>
              </w:rPr>
              <w:t>following</w:t>
            </w:r>
            <w:r w:rsidRPr="008F1BEF">
              <w:rPr>
                <w:sz w:val="22"/>
              </w:rPr>
              <w:t xml:space="preserve"> its proposed admission to AIM</w:t>
            </w:r>
            <w:r w:rsidR="00A95F71">
              <w:rPr>
                <w:sz w:val="22"/>
              </w:rPr>
              <w:t>.</w:t>
            </w:r>
          </w:p>
          <w:p w14:paraId="06DE4A02" w14:textId="77777777" w:rsidR="003D2BB8" w:rsidRDefault="003D2BB8" w:rsidP="005B4431">
            <w:pPr>
              <w:rPr>
                <w:sz w:val="22"/>
              </w:rPr>
            </w:pPr>
          </w:p>
        </w:tc>
      </w:tr>
      <w:tr w:rsidR="00A163ED" w14:paraId="62361AD7" w14:textId="77777777" w:rsidTr="00257DEF">
        <w:tblPrEx>
          <w:tblCellMar>
            <w:top w:w="0" w:type="dxa"/>
            <w:bottom w:w="0" w:type="dxa"/>
          </w:tblCellMar>
        </w:tblPrEx>
        <w:tc>
          <w:tcPr>
            <w:tcW w:w="9073" w:type="dxa"/>
            <w:shd w:val="pct10" w:color="auto" w:fill="auto"/>
          </w:tcPr>
          <w:p w14:paraId="13709CA5" w14:textId="77777777" w:rsidR="00A163ED" w:rsidRDefault="00A163ED" w:rsidP="005B4431">
            <w:pPr>
              <w:rPr>
                <w:sz w:val="22"/>
              </w:rPr>
            </w:pPr>
            <w:r>
              <w:rPr>
                <w:sz w:val="22"/>
              </w:rPr>
              <w:t xml:space="preserve">FULL NAMES AND FUNCTIONS OF </w:t>
            </w:r>
            <w:r w:rsidRPr="00BD13AB">
              <w:rPr>
                <w:sz w:val="22"/>
                <w:u w:val="single"/>
              </w:rPr>
              <w:t>DIRECTORS</w:t>
            </w:r>
            <w:r>
              <w:rPr>
                <w:sz w:val="22"/>
              </w:rPr>
              <w:t xml:space="preserve"> AND PROPOSED DIRECTORS</w:t>
            </w:r>
            <w:r w:rsidR="00A2314C">
              <w:rPr>
                <w:sz w:val="22"/>
              </w:rPr>
              <w:t xml:space="preserve"> (underlining the first name by which each is known or including any other name by which each is known)</w:t>
            </w:r>
            <w:r>
              <w:rPr>
                <w:sz w:val="22"/>
              </w:rPr>
              <w:t>:</w:t>
            </w:r>
          </w:p>
        </w:tc>
      </w:tr>
      <w:tr w:rsidR="00A163ED" w14:paraId="5635777F" w14:textId="77777777" w:rsidTr="00257DEF">
        <w:tblPrEx>
          <w:tblCellMar>
            <w:top w:w="0" w:type="dxa"/>
            <w:bottom w:w="0" w:type="dxa"/>
          </w:tblCellMar>
        </w:tblPrEx>
        <w:tc>
          <w:tcPr>
            <w:tcW w:w="9073" w:type="dxa"/>
          </w:tcPr>
          <w:p w14:paraId="50B08D16" w14:textId="77777777" w:rsidR="008F1BEF" w:rsidRPr="008F1BEF" w:rsidRDefault="008F1BEF" w:rsidP="008F1BEF">
            <w:pPr>
              <w:rPr>
                <w:sz w:val="22"/>
              </w:rPr>
            </w:pPr>
          </w:p>
          <w:p w14:paraId="20215CCF" w14:textId="77777777" w:rsidR="00661916" w:rsidRPr="006C5159" w:rsidRDefault="00661916" w:rsidP="00661916">
            <w:pPr>
              <w:rPr>
                <w:sz w:val="22"/>
              </w:rPr>
            </w:pPr>
            <w:r w:rsidRPr="00617987">
              <w:rPr>
                <w:sz w:val="22"/>
                <w:u w:val="single"/>
              </w:rPr>
              <w:t>Martin</w:t>
            </w:r>
            <w:r w:rsidRPr="006C5159">
              <w:rPr>
                <w:sz w:val="22"/>
              </w:rPr>
              <w:t xml:space="preserve"> Paul Tolcher</w:t>
            </w:r>
            <w:r w:rsidRPr="006C5159">
              <w:rPr>
                <w:sz w:val="22"/>
              </w:rPr>
              <w:tab/>
              <w:t xml:space="preserve">                                  </w:t>
            </w:r>
            <w:r w:rsidR="00F50045" w:rsidRPr="006C5159">
              <w:rPr>
                <w:sz w:val="22"/>
              </w:rPr>
              <w:t xml:space="preserve">Independent </w:t>
            </w:r>
            <w:r w:rsidR="003A057F" w:rsidRPr="006C5159">
              <w:rPr>
                <w:sz w:val="22"/>
              </w:rPr>
              <w:t xml:space="preserve">Non-Executive </w:t>
            </w:r>
            <w:r w:rsidRPr="006C5159">
              <w:rPr>
                <w:sz w:val="22"/>
              </w:rPr>
              <w:t>Chairman</w:t>
            </w:r>
          </w:p>
          <w:p w14:paraId="3AF2468B" w14:textId="77777777" w:rsidR="008F1BEF" w:rsidRPr="006C5159" w:rsidRDefault="008F1BEF" w:rsidP="008F1BEF">
            <w:pPr>
              <w:rPr>
                <w:sz w:val="22"/>
              </w:rPr>
            </w:pPr>
            <w:r w:rsidRPr="00617987">
              <w:rPr>
                <w:sz w:val="22"/>
                <w:u w:val="single"/>
              </w:rPr>
              <w:t>Sean</w:t>
            </w:r>
            <w:r w:rsidRPr="006C5159">
              <w:rPr>
                <w:sz w:val="22"/>
              </w:rPr>
              <w:t xml:space="preserve"> Thomas Gilbertson</w:t>
            </w:r>
            <w:r w:rsidRPr="006C5159">
              <w:rPr>
                <w:sz w:val="22"/>
              </w:rPr>
              <w:tab/>
              <w:t xml:space="preserve">                      CEO</w:t>
            </w:r>
          </w:p>
          <w:p w14:paraId="7B891810" w14:textId="77777777" w:rsidR="008F1BEF" w:rsidRPr="006C5159" w:rsidRDefault="008F1BEF" w:rsidP="008F1BEF">
            <w:pPr>
              <w:rPr>
                <w:sz w:val="22"/>
              </w:rPr>
            </w:pPr>
            <w:r w:rsidRPr="00617987">
              <w:rPr>
                <w:sz w:val="22"/>
                <w:u w:val="single"/>
              </w:rPr>
              <w:t>David</w:t>
            </w:r>
            <w:r w:rsidRPr="006C5159">
              <w:rPr>
                <w:sz w:val="22"/>
              </w:rPr>
              <w:t xml:space="preserve"> John Lovett</w:t>
            </w:r>
            <w:r w:rsidRPr="006C5159">
              <w:rPr>
                <w:sz w:val="22"/>
              </w:rPr>
              <w:tab/>
              <w:t xml:space="preserve">                                  CFO</w:t>
            </w:r>
          </w:p>
          <w:p w14:paraId="556D0849" w14:textId="77777777" w:rsidR="008F1BEF" w:rsidRPr="006C5159" w:rsidRDefault="008F1BEF" w:rsidP="008F1BEF">
            <w:pPr>
              <w:rPr>
                <w:sz w:val="22"/>
              </w:rPr>
            </w:pPr>
            <w:r w:rsidRPr="006C5159">
              <w:rPr>
                <w:sz w:val="22"/>
              </w:rPr>
              <w:t>Dr Christoffel (“</w:t>
            </w:r>
            <w:r w:rsidRPr="00B423A1">
              <w:rPr>
                <w:sz w:val="22"/>
                <w:u w:val="single"/>
              </w:rPr>
              <w:t>Christo</w:t>
            </w:r>
            <w:r w:rsidRPr="006C5159">
              <w:rPr>
                <w:sz w:val="22"/>
              </w:rPr>
              <w:t>”) Hendrik Wiese</w:t>
            </w:r>
            <w:r w:rsidRPr="006C5159">
              <w:rPr>
                <w:sz w:val="22"/>
              </w:rPr>
              <w:tab/>
              <w:t>Non-Executive Director</w:t>
            </w:r>
          </w:p>
          <w:p w14:paraId="52E3B6B4" w14:textId="77777777" w:rsidR="008F1BEF" w:rsidRPr="006C5159" w:rsidRDefault="008F1BEF" w:rsidP="008F1BEF">
            <w:pPr>
              <w:rPr>
                <w:sz w:val="22"/>
              </w:rPr>
            </w:pPr>
            <w:r w:rsidRPr="006F39CD">
              <w:rPr>
                <w:sz w:val="22"/>
                <w:u w:val="single"/>
              </w:rPr>
              <w:t>Lumkile</w:t>
            </w:r>
            <w:r w:rsidRPr="006C5159">
              <w:rPr>
                <w:sz w:val="22"/>
              </w:rPr>
              <w:t xml:space="preserve"> Patriarch Mondi</w:t>
            </w:r>
            <w:r w:rsidRPr="006C5159">
              <w:rPr>
                <w:sz w:val="22"/>
              </w:rPr>
              <w:tab/>
              <w:t xml:space="preserve">                       </w:t>
            </w:r>
            <w:r w:rsidR="008026B6" w:rsidRPr="006C5159">
              <w:rPr>
                <w:sz w:val="22"/>
              </w:rPr>
              <w:t xml:space="preserve">Lead </w:t>
            </w:r>
            <w:r w:rsidRPr="006C5159">
              <w:rPr>
                <w:sz w:val="22"/>
              </w:rPr>
              <w:t>Independent Non-Executive Director</w:t>
            </w:r>
          </w:p>
          <w:p w14:paraId="04E4FD99" w14:textId="77777777" w:rsidR="008F1BEF" w:rsidRPr="006C5159" w:rsidRDefault="008F1BEF" w:rsidP="008F1BEF">
            <w:pPr>
              <w:rPr>
                <w:sz w:val="22"/>
              </w:rPr>
            </w:pPr>
            <w:r w:rsidRPr="006F39CD">
              <w:rPr>
                <w:sz w:val="22"/>
                <w:u w:val="single"/>
              </w:rPr>
              <w:t>Carel</w:t>
            </w:r>
            <w:r w:rsidRPr="006C5159">
              <w:rPr>
                <w:sz w:val="22"/>
              </w:rPr>
              <w:t xml:space="preserve"> Johannes Malan</w:t>
            </w:r>
            <w:r w:rsidRPr="006C5159">
              <w:rPr>
                <w:sz w:val="22"/>
              </w:rPr>
              <w:tab/>
              <w:t xml:space="preserve">                       Independent Non-Executive Director</w:t>
            </w:r>
          </w:p>
          <w:p w14:paraId="5FE180C4" w14:textId="77777777" w:rsidR="00A163ED" w:rsidRDefault="008F1BEF" w:rsidP="008F1BEF">
            <w:pPr>
              <w:rPr>
                <w:sz w:val="22"/>
              </w:rPr>
            </w:pPr>
            <w:r w:rsidRPr="006F39CD">
              <w:rPr>
                <w:sz w:val="22"/>
                <w:u w:val="single"/>
              </w:rPr>
              <w:t>Kwape</w:t>
            </w:r>
            <w:r w:rsidRPr="006C5159">
              <w:rPr>
                <w:sz w:val="22"/>
              </w:rPr>
              <w:t xml:space="preserve"> David Mmela</w:t>
            </w:r>
            <w:r w:rsidRPr="006C5159">
              <w:rPr>
                <w:sz w:val="22"/>
              </w:rPr>
              <w:tab/>
              <w:t xml:space="preserve">                                  Independent</w:t>
            </w:r>
            <w:r w:rsidRPr="008F1BEF">
              <w:rPr>
                <w:sz w:val="22"/>
              </w:rPr>
              <w:t xml:space="preserve"> Non-Executive Director</w:t>
            </w:r>
          </w:p>
          <w:p w14:paraId="6915C328" w14:textId="77777777" w:rsidR="008F1BEF" w:rsidRDefault="008F1BEF" w:rsidP="008F1BEF">
            <w:pPr>
              <w:rPr>
                <w:sz w:val="22"/>
              </w:rPr>
            </w:pPr>
          </w:p>
          <w:p w14:paraId="02ECBB37" w14:textId="77777777" w:rsidR="008F1BEF" w:rsidRDefault="008F1BEF" w:rsidP="008F1BEF">
            <w:pPr>
              <w:rPr>
                <w:sz w:val="22"/>
              </w:rPr>
            </w:pPr>
          </w:p>
          <w:p w14:paraId="4ED6CCC0" w14:textId="77777777" w:rsidR="003D2BB8" w:rsidRDefault="008F1BEF" w:rsidP="005B4431">
            <w:pPr>
              <w:rPr>
                <w:sz w:val="22"/>
              </w:rPr>
            </w:pPr>
            <w:r w:rsidRPr="00843853">
              <w:rPr>
                <w:sz w:val="22"/>
              </w:rPr>
              <w:t xml:space="preserve">It is the intention of the Company to </w:t>
            </w:r>
            <w:r w:rsidR="006F39CD">
              <w:rPr>
                <w:sz w:val="22"/>
              </w:rPr>
              <w:t>consider the appointment of</w:t>
            </w:r>
            <w:r w:rsidR="006F39CD" w:rsidRPr="00843853">
              <w:rPr>
                <w:sz w:val="22"/>
              </w:rPr>
              <w:t xml:space="preserve"> </w:t>
            </w:r>
            <w:r w:rsidRPr="00843853">
              <w:rPr>
                <w:sz w:val="22"/>
              </w:rPr>
              <w:t xml:space="preserve">another UK based Independent Non-Executive Director with plc </w:t>
            </w:r>
            <w:r w:rsidR="006F39CD">
              <w:rPr>
                <w:sz w:val="22"/>
              </w:rPr>
              <w:t xml:space="preserve">and other relevant </w:t>
            </w:r>
            <w:r w:rsidRPr="00843853">
              <w:rPr>
                <w:sz w:val="22"/>
              </w:rPr>
              <w:t>experience.</w:t>
            </w:r>
          </w:p>
          <w:p w14:paraId="2179BC31" w14:textId="77777777" w:rsidR="008F1BEF" w:rsidRDefault="008F1BEF" w:rsidP="005B4431">
            <w:pPr>
              <w:rPr>
                <w:sz w:val="22"/>
              </w:rPr>
            </w:pPr>
          </w:p>
        </w:tc>
      </w:tr>
      <w:tr w:rsidR="00A163ED" w14:paraId="22645B9B" w14:textId="77777777" w:rsidTr="00257DEF">
        <w:tblPrEx>
          <w:tblCellMar>
            <w:top w:w="0" w:type="dxa"/>
            <w:bottom w:w="0" w:type="dxa"/>
          </w:tblCellMar>
        </w:tblPrEx>
        <w:tc>
          <w:tcPr>
            <w:tcW w:w="9073" w:type="dxa"/>
            <w:shd w:val="pct10" w:color="auto" w:fill="auto"/>
          </w:tcPr>
          <w:p w14:paraId="5C3618DA" w14:textId="77777777" w:rsidR="00A163ED" w:rsidRDefault="00A2314C" w:rsidP="005B4431">
            <w:pPr>
              <w:rPr>
                <w:sz w:val="22"/>
              </w:rPr>
            </w:pPr>
            <w:r>
              <w:rPr>
                <w:sz w:val="22"/>
              </w:rPr>
              <w:lastRenderedPageBreak/>
              <w:t>FULL NAME</w:t>
            </w:r>
            <w:r w:rsidR="00607428">
              <w:rPr>
                <w:sz w:val="22"/>
              </w:rPr>
              <w:t>S</w:t>
            </w:r>
            <w:r>
              <w:rPr>
                <w:sz w:val="22"/>
              </w:rPr>
              <w:t xml:space="preserve"> </w:t>
            </w:r>
            <w:r w:rsidR="00F561AE">
              <w:rPr>
                <w:sz w:val="22"/>
              </w:rPr>
              <w:t xml:space="preserve">AND HOLDINGS </w:t>
            </w:r>
            <w:r>
              <w:rPr>
                <w:sz w:val="22"/>
              </w:rPr>
              <w:t xml:space="preserve">OF </w:t>
            </w:r>
            <w:r w:rsidR="00607428" w:rsidRPr="00BD13AB">
              <w:rPr>
                <w:sz w:val="22"/>
                <w:u w:val="single"/>
              </w:rPr>
              <w:t>SIGNIFICANT SHAREHOLDERS</w:t>
            </w:r>
            <w:r w:rsidR="00A163ED" w:rsidRPr="00BD13AB">
              <w:rPr>
                <w:sz w:val="22"/>
                <w:u w:val="single"/>
              </w:rPr>
              <w:t xml:space="preserve"> </w:t>
            </w:r>
            <w:r w:rsidR="00A163ED">
              <w:rPr>
                <w:sz w:val="22"/>
              </w:rPr>
              <w:t>EXPRESSED AS A PERCENTAGE OF THE ISSUED SHARE CAPITAL</w:t>
            </w:r>
            <w:r w:rsidR="00F561AE">
              <w:rPr>
                <w:sz w:val="22"/>
              </w:rPr>
              <w:t>,</w:t>
            </w:r>
            <w:r w:rsidR="00A163ED">
              <w:rPr>
                <w:sz w:val="22"/>
              </w:rPr>
              <w:t xml:space="preserve"> </w:t>
            </w:r>
            <w:r w:rsidR="00C85490">
              <w:rPr>
                <w:sz w:val="22"/>
              </w:rPr>
              <w:t>BEFORE AND</w:t>
            </w:r>
            <w:r w:rsidR="00A163ED">
              <w:rPr>
                <w:sz w:val="22"/>
              </w:rPr>
              <w:t xml:space="preserve"> AFTER ADMISSION</w:t>
            </w:r>
            <w:r w:rsidR="00F235FA">
              <w:rPr>
                <w:sz w:val="22"/>
              </w:rPr>
              <w:t xml:space="preserve"> (underlining the first name by which each is known or including any other name by which each is known)</w:t>
            </w:r>
            <w:r w:rsidR="00A163ED">
              <w:rPr>
                <w:sz w:val="22"/>
              </w:rPr>
              <w:t>:</w:t>
            </w:r>
          </w:p>
        </w:tc>
      </w:tr>
      <w:tr w:rsidR="00A163ED" w14:paraId="1C1B2733" w14:textId="77777777" w:rsidTr="00257DEF">
        <w:tblPrEx>
          <w:tblCellMar>
            <w:top w:w="0" w:type="dxa"/>
            <w:bottom w:w="0" w:type="dxa"/>
          </w:tblCellMar>
        </w:tblPrEx>
        <w:tc>
          <w:tcPr>
            <w:tcW w:w="9073" w:type="dxa"/>
          </w:tcPr>
          <w:p w14:paraId="7F1B1F2C" w14:textId="77777777" w:rsidR="00A163ED" w:rsidRDefault="00A163ED" w:rsidP="005B4431">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2126"/>
              <w:gridCol w:w="3119"/>
            </w:tblGrid>
            <w:tr w:rsidR="00032861" w:rsidRPr="0031027F" w14:paraId="675A1E0E" w14:textId="77777777" w:rsidTr="009C5075">
              <w:trPr>
                <w:trHeight w:val="543"/>
              </w:trPr>
              <w:tc>
                <w:tcPr>
                  <w:tcW w:w="3539" w:type="dxa"/>
                  <w:tcBorders>
                    <w:top w:val="single" w:sz="4" w:space="0" w:color="auto"/>
                    <w:left w:val="single" w:sz="4" w:space="0" w:color="auto"/>
                    <w:bottom w:val="single" w:sz="4" w:space="0" w:color="auto"/>
                    <w:right w:val="single" w:sz="4" w:space="0" w:color="auto"/>
                  </w:tcBorders>
                  <w:shd w:val="clear" w:color="auto" w:fill="auto"/>
                </w:tcPr>
                <w:p w14:paraId="4E87E155" w14:textId="77777777" w:rsidR="00032861" w:rsidRPr="00061AA1" w:rsidRDefault="00032861" w:rsidP="00032861">
                  <w:pPr>
                    <w:rPr>
                      <w:rFonts w:eastAsia="SimSun"/>
                      <w:i/>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DDC4794" w14:textId="77777777" w:rsidR="00032861" w:rsidRPr="00061AA1" w:rsidRDefault="00032861" w:rsidP="00061AA1">
                  <w:pPr>
                    <w:jc w:val="right"/>
                    <w:rPr>
                      <w:rFonts w:eastAsia="SimSun"/>
                      <w:i/>
                      <w:sz w:val="22"/>
                      <w:szCs w:val="22"/>
                    </w:rPr>
                  </w:pPr>
                  <w:r w:rsidRPr="00061AA1">
                    <w:rPr>
                      <w:rFonts w:eastAsia="SimSun"/>
                      <w:i/>
                      <w:sz w:val="22"/>
                      <w:szCs w:val="22"/>
                    </w:rPr>
                    <w:t>Number of ordinary shares held pre and post admission</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6B2E078" w14:textId="77777777" w:rsidR="00032861" w:rsidRPr="00061AA1" w:rsidRDefault="00032861" w:rsidP="00061AA1">
                  <w:pPr>
                    <w:jc w:val="right"/>
                    <w:rPr>
                      <w:rFonts w:eastAsia="SimSun"/>
                      <w:i/>
                      <w:sz w:val="22"/>
                      <w:szCs w:val="22"/>
                    </w:rPr>
                  </w:pPr>
                  <w:r w:rsidRPr="00061AA1">
                    <w:rPr>
                      <w:rFonts w:eastAsia="SimSun"/>
                      <w:i/>
                      <w:sz w:val="22"/>
                      <w:szCs w:val="22"/>
                    </w:rPr>
                    <w:t>% of issued share capital</w:t>
                  </w:r>
                </w:p>
              </w:tc>
            </w:tr>
            <w:tr w:rsidR="005D0138" w:rsidRPr="0031027F" w14:paraId="05D31C32" w14:textId="77777777" w:rsidTr="009C5075">
              <w:tc>
                <w:tcPr>
                  <w:tcW w:w="3539" w:type="dxa"/>
                  <w:tcBorders>
                    <w:top w:val="single" w:sz="4" w:space="0" w:color="auto"/>
                    <w:left w:val="single" w:sz="4" w:space="0" w:color="auto"/>
                    <w:bottom w:val="single" w:sz="4" w:space="0" w:color="auto"/>
                    <w:right w:val="single" w:sz="4" w:space="0" w:color="auto"/>
                  </w:tcBorders>
                  <w:shd w:val="clear" w:color="auto" w:fill="auto"/>
                </w:tcPr>
                <w:p w14:paraId="073FDD59" w14:textId="77777777" w:rsidR="005D0138" w:rsidRPr="00061AA1" w:rsidRDefault="005D0138" w:rsidP="005D0138">
                  <w:pPr>
                    <w:rPr>
                      <w:rFonts w:eastAsia="SimSun" w:cs="Arial"/>
                      <w:color w:val="000000"/>
                      <w:sz w:val="22"/>
                      <w:szCs w:val="22"/>
                      <w:lang w:eastAsia="en-GB"/>
                    </w:rPr>
                  </w:pPr>
                  <w:r w:rsidRPr="00061AA1">
                    <w:rPr>
                      <w:rFonts w:eastAsia="SimSun"/>
                      <w:sz w:val="22"/>
                      <w:szCs w:val="22"/>
                    </w:rPr>
                    <w:t>Dr Christo Wiese*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81B6624" w14:textId="77777777" w:rsidR="005D0138" w:rsidRPr="00061AA1" w:rsidRDefault="005D0138" w:rsidP="005D0138">
                  <w:pPr>
                    <w:jc w:val="right"/>
                    <w:rPr>
                      <w:rFonts w:eastAsia="SimSun"/>
                      <w:sz w:val="22"/>
                      <w:szCs w:val="22"/>
                    </w:rPr>
                  </w:pPr>
                  <w:r w:rsidRPr="00061AA1">
                    <w:rPr>
                      <w:rFonts w:eastAsia="SimSun"/>
                      <w:sz w:val="22"/>
                      <w:szCs w:val="22"/>
                    </w:rPr>
                    <w:t>160,388,407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0E2A3F82" w14:textId="77777777" w:rsidR="005D0138" w:rsidRPr="005D0138" w:rsidRDefault="005D0138" w:rsidP="005D0138">
                  <w:pPr>
                    <w:jc w:val="right"/>
                    <w:rPr>
                      <w:rFonts w:eastAsia="SimSun"/>
                      <w:sz w:val="22"/>
                      <w:szCs w:val="22"/>
                    </w:rPr>
                  </w:pPr>
                  <w:r w:rsidRPr="005D0138">
                    <w:rPr>
                      <w:rFonts w:eastAsia="SimSun"/>
                      <w:sz w:val="22"/>
                      <w:szCs w:val="22"/>
                    </w:rPr>
                    <w:t>12.65%</w:t>
                  </w:r>
                </w:p>
              </w:tc>
            </w:tr>
            <w:tr w:rsidR="005D0138" w:rsidRPr="0031027F" w14:paraId="5E3AF64F" w14:textId="77777777" w:rsidTr="009C5075">
              <w:tc>
                <w:tcPr>
                  <w:tcW w:w="3539" w:type="dxa"/>
                  <w:tcBorders>
                    <w:top w:val="single" w:sz="4" w:space="0" w:color="auto"/>
                    <w:left w:val="single" w:sz="4" w:space="0" w:color="auto"/>
                    <w:bottom w:val="single" w:sz="4" w:space="0" w:color="auto"/>
                    <w:right w:val="single" w:sz="4" w:space="0" w:color="auto"/>
                  </w:tcBorders>
                  <w:shd w:val="clear" w:color="auto" w:fill="auto"/>
                </w:tcPr>
                <w:p w14:paraId="0EED65F6" w14:textId="77777777" w:rsidR="005D0138" w:rsidRPr="00061AA1" w:rsidRDefault="005D0138" w:rsidP="005D0138">
                  <w:pPr>
                    <w:rPr>
                      <w:rFonts w:eastAsia="SimSun" w:cs="Arial"/>
                      <w:color w:val="000000"/>
                      <w:sz w:val="22"/>
                      <w:szCs w:val="22"/>
                      <w:lang w:eastAsia="en-GB"/>
                    </w:rPr>
                  </w:pPr>
                  <w:r w:rsidRPr="00061AA1">
                    <w:rPr>
                      <w:rFonts w:eastAsia="SimSun"/>
                      <w:sz w:val="22"/>
                      <w:szCs w:val="22"/>
                    </w:rPr>
                    <w:t>Fidelity International</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46D3FE5" w14:textId="77777777" w:rsidR="005D0138" w:rsidRPr="00061AA1" w:rsidRDefault="005D0138" w:rsidP="005D0138">
                  <w:pPr>
                    <w:jc w:val="right"/>
                    <w:rPr>
                      <w:rFonts w:eastAsia="SimSun"/>
                      <w:sz w:val="22"/>
                      <w:szCs w:val="22"/>
                    </w:rPr>
                  </w:pPr>
                  <w:r w:rsidRPr="00CC792C">
                    <w:rPr>
                      <w:rFonts w:eastAsia="SimSun"/>
                      <w:sz w:val="22"/>
                      <w:szCs w:val="22"/>
                    </w:rPr>
                    <w:t>139,535,923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2E391081" w14:textId="77777777" w:rsidR="005D0138" w:rsidRPr="005D0138" w:rsidRDefault="005D0138" w:rsidP="005D0138">
                  <w:pPr>
                    <w:jc w:val="right"/>
                    <w:rPr>
                      <w:rFonts w:eastAsia="SimSun"/>
                      <w:sz w:val="22"/>
                      <w:szCs w:val="22"/>
                    </w:rPr>
                  </w:pPr>
                  <w:r w:rsidRPr="005D0138">
                    <w:rPr>
                      <w:rFonts w:eastAsia="SimSun"/>
                      <w:sz w:val="22"/>
                      <w:szCs w:val="22"/>
                    </w:rPr>
                    <w:t>11.01%</w:t>
                  </w:r>
                </w:p>
              </w:tc>
            </w:tr>
            <w:tr w:rsidR="005D0138" w:rsidRPr="0031027F" w14:paraId="751A7252" w14:textId="77777777" w:rsidTr="009C5075">
              <w:tc>
                <w:tcPr>
                  <w:tcW w:w="3539" w:type="dxa"/>
                  <w:tcBorders>
                    <w:top w:val="single" w:sz="4" w:space="0" w:color="auto"/>
                    <w:left w:val="single" w:sz="4" w:space="0" w:color="auto"/>
                    <w:bottom w:val="single" w:sz="4" w:space="0" w:color="auto"/>
                    <w:right w:val="single" w:sz="4" w:space="0" w:color="auto"/>
                  </w:tcBorders>
                  <w:shd w:val="clear" w:color="auto" w:fill="auto"/>
                </w:tcPr>
                <w:p w14:paraId="17081F8D" w14:textId="77777777" w:rsidR="005D0138" w:rsidRPr="00061AA1" w:rsidRDefault="005D0138" w:rsidP="005D0138">
                  <w:pPr>
                    <w:rPr>
                      <w:rFonts w:eastAsia="SimSun"/>
                      <w:sz w:val="22"/>
                      <w:szCs w:val="22"/>
                    </w:rPr>
                  </w:pPr>
                  <w:r w:rsidRPr="00061AA1">
                    <w:rPr>
                      <w:rFonts w:eastAsia="SimSun"/>
                      <w:sz w:val="22"/>
                      <w:szCs w:val="22"/>
                    </w:rPr>
                    <w:t>Ophorst Van Marwijk Kooy Vermogensbeheer N.V.</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DAF1873" w14:textId="77777777" w:rsidR="005D0138" w:rsidRPr="00061AA1" w:rsidRDefault="005D0138" w:rsidP="005D0138">
                  <w:pPr>
                    <w:jc w:val="right"/>
                    <w:rPr>
                      <w:rFonts w:eastAsia="SimSun"/>
                      <w:sz w:val="22"/>
                      <w:szCs w:val="22"/>
                    </w:rPr>
                  </w:pPr>
                  <w:r w:rsidRPr="00CC792C">
                    <w:rPr>
                      <w:rFonts w:eastAsia="SimSun"/>
                      <w:sz w:val="22"/>
                      <w:szCs w:val="22"/>
                    </w:rPr>
                    <w:t>9</w:t>
                  </w:r>
                  <w:r w:rsidR="00A95F71">
                    <w:rPr>
                      <w:rFonts w:eastAsia="SimSun"/>
                      <w:sz w:val="22"/>
                      <w:szCs w:val="22"/>
                    </w:rPr>
                    <w:t>6,765,269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3149BE68" w14:textId="77777777" w:rsidR="005D0138" w:rsidRPr="00061AA1" w:rsidRDefault="005D0138" w:rsidP="005D0138">
                  <w:pPr>
                    <w:jc w:val="right"/>
                    <w:rPr>
                      <w:rFonts w:eastAsia="SimSun"/>
                      <w:sz w:val="22"/>
                      <w:szCs w:val="22"/>
                    </w:rPr>
                  </w:pPr>
                  <w:r w:rsidRPr="005D0138">
                    <w:rPr>
                      <w:rFonts w:eastAsia="SimSun"/>
                      <w:sz w:val="22"/>
                      <w:szCs w:val="22"/>
                    </w:rPr>
                    <w:t>7.</w:t>
                  </w:r>
                  <w:r w:rsidR="00A95F71">
                    <w:rPr>
                      <w:rFonts w:eastAsia="SimSun"/>
                      <w:sz w:val="22"/>
                      <w:szCs w:val="22"/>
                    </w:rPr>
                    <w:t>63</w:t>
                  </w:r>
                  <w:r w:rsidRPr="005D0138">
                    <w:rPr>
                      <w:rFonts w:eastAsia="SimSun"/>
                      <w:sz w:val="22"/>
                      <w:szCs w:val="22"/>
                    </w:rPr>
                    <w:t>%</w:t>
                  </w:r>
                </w:p>
              </w:tc>
            </w:tr>
            <w:tr w:rsidR="005D0138" w:rsidRPr="0031027F" w14:paraId="04891E0E" w14:textId="77777777" w:rsidTr="009C5075">
              <w:tc>
                <w:tcPr>
                  <w:tcW w:w="3539" w:type="dxa"/>
                  <w:tcBorders>
                    <w:top w:val="single" w:sz="4" w:space="0" w:color="auto"/>
                    <w:left w:val="single" w:sz="4" w:space="0" w:color="auto"/>
                    <w:bottom w:val="single" w:sz="4" w:space="0" w:color="auto"/>
                    <w:right w:val="single" w:sz="4" w:space="0" w:color="auto"/>
                  </w:tcBorders>
                  <w:shd w:val="clear" w:color="auto" w:fill="auto"/>
                </w:tcPr>
                <w:p w14:paraId="12A0AC21" w14:textId="77777777" w:rsidR="005D0138" w:rsidRPr="00061AA1" w:rsidRDefault="005D0138" w:rsidP="005D0138">
                  <w:pPr>
                    <w:rPr>
                      <w:rFonts w:eastAsia="SimSun"/>
                      <w:sz w:val="22"/>
                      <w:szCs w:val="22"/>
                    </w:rPr>
                  </w:pPr>
                  <w:r w:rsidRPr="00061AA1">
                    <w:rPr>
                      <w:rFonts w:eastAsia="SimSun"/>
                      <w:sz w:val="22"/>
                      <w:szCs w:val="22"/>
                    </w:rPr>
                    <w:t>Gemfields Group Limited</w:t>
                  </w:r>
                  <w:r>
                    <w:rPr>
                      <w:rFonts w:eastAsia="SimSun"/>
                      <w:sz w:val="22"/>
                      <w:szCs w:val="22"/>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8F816AD" w14:textId="77777777" w:rsidR="005D0138" w:rsidRPr="00061AA1" w:rsidRDefault="005D0138" w:rsidP="005D0138">
                  <w:pPr>
                    <w:jc w:val="right"/>
                    <w:rPr>
                      <w:rFonts w:eastAsia="SimSun"/>
                      <w:sz w:val="22"/>
                      <w:szCs w:val="22"/>
                    </w:rPr>
                  </w:pPr>
                  <w:r w:rsidRPr="00061AA1">
                    <w:rPr>
                      <w:rFonts w:eastAsia="SimSun"/>
                      <w:sz w:val="22"/>
                      <w:szCs w:val="22"/>
                    </w:rPr>
                    <w:t>96,276,146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208AB687" w14:textId="77777777" w:rsidR="005D0138" w:rsidRPr="00061AA1" w:rsidRDefault="005D0138" w:rsidP="005D0138">
                  <w:pPr>
                    <w:jc w:val="right"/>
                    <w:rPr>
                      <w:rFonts w:eastAsia="SimSun"/>
                      <w:sz w:val="22"/>
                      <w:szCs w:val="22"/>
                    </w:rPr>
                  </w:pPr>
                  <w:r w:rsidRPr="005D0138">
                    <w:rPr>
                      <w:rFonts w:eastAsia="SimSun"/>
                      <w:sz w:val="22"/>
                      <w:szCs w:val="22"/>
                    </w:rPr>
                    <w:t>7.60%</w:t>
                  </w:r>
                </w:p>
              </w:tc>
            </w:tr>
            <w:tr w:rsidR="005D0138" w:rsidRPr="0031027F" w14:paraId="5265E6A0" w14:textId="77777777" w:rsidTr="009C5075">
              <w:tc>
                <w:tcPr>
                  <w:tcW w:w="3539" w:type="dxa"/>
                  <w:tcBorders>
                    <w:top w:val="single" w:sz="4" w:space="0" w:color="auto"/>
                    <w:left w:val="single" w:sz="4" w:space="0" w:color="auto"/>
                    <w:bottom w:val="single" w:sz="4" w:space="0" w:color="auto"/>
                    <w:right w:val="single" w:sz="4" w:space="0" w:color="auto"/>
                  </w:tcBorders>
                  <w:shd w:val="clear" w:color="auto" w:fill="auto"/>
                </w:tcPr>
                <w:p w14:paraId="1B52BDBB" w14:textId="77777777" w:rsidR="005D0138" w:rsidRPr="00061AA1" w:rsidRDefault="005D0138" w:rsidP="005D0138">
                  <w:pPr>
                    <w:rPr>
                      <w:rFonts w:eastAsia="SimSun"/>
                      <w:sz w:val="22"/>
                      <w:szCs w:val="22"/>
                    </w:rPr>
                  </w:pPr>
                  <w:r w:rsidRPr="00061AA1">
                    <w:rPr>
                      <w:rFonts w:eastAsia="SimSun"/>
                      <w:sz w:val="22"/>
                      <w:szCs w:val="22"/>
                    </w:rPr>
                    <w:t>Oasis</w:t>
                  </w:r>
                  <w:r>
                    <w:rPr>
                      <w:rFonts w:eastAsia="SimSun"/>
                      <w:sz w:val="22"/>
                      <w:szCs w:val="22"/>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0455CB7" w14:textId="77777777" w:rsidR="005D0138" w:rsidRPr="00061AA1" w:rsidRDefault="005D0138" w:rsidP="005D0138">
                  <w:pPr>
                    <w:jc w:val="right"/>
                    <w:rPr>
                      <w:rFonts w:eastAsia="SimSun"/>
                      <w:sz w:val="22"/>
                      <w:szCs w:val="22"/>
                    </w:rPr>
                  </w:pPr>
                  <w:r w:rsidRPr="00061AA1">
                    <w:rPr>
                      <w:rFonts w:eastAsia="SimSun"/>
                      <w:sz w:val="22"/>
                      <w:szCs w:val="22"/>
                    </w:rPr>
                    <w:t>94,785,218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1002B1A6" w14:textId="77777777" w:rsidR="005D0138" w:rsidRPr="00061AA1" w:rsidRDefault="005D0138" w:rsidP="005D0138">
                  <w:pPr>
                    <w:jc w:val="right"/>
                    <w:rPr>
                      <w:rFonts w:eastAsia="SimSun"/>
                      <w:sz w:val="22"/>
                      <w:szCs w:val="22"/>
                    </w:rPr>
                  </w:pPr>
                  <w:r w:rsidRPr="005D0138">
                    <w:rPr>
                      <w:rFonts w:eastAsia="SimSun"/>
                      <w:sz w:val="22"/>
                      <w:szCs w:val="22"/>
                    </w:rPr>
                    <w:t>7.48%</w:t>
                  </w:r>
                </w:p>
              </w:tc>
            </w:tr>
            <w:tr w:rsidR="005D0138" w:rsidRPr="0031027F" w14:paraId="24F2E8EA" w14:textId="77777777" w:rsidTr="009C5075">
              <w:tc>
                <w:tcPr>
                  <w:tcW w:w="3539" w:type="dxa"/>
                  <w:tcBorders>
                    <w:top w:val="single" w:sz="4" w:space="0" w:color="auto"/>
                    <w:left w:val="single" w:sz="4" w:space="0" w:color="auto"/>
                    <w:bottom w:val="single" w:sz="4" w:space="0" w:color="auto"/>
                    <w:right w:val="single" w:sz="4" w:space="0" w:color="auto"/>
                  </w:tcBorders>
                  <w:shd w:val="clear" w:color="auto" w:fill="auto"/>
                </w:tcPr>
                <w:p w14:paraId="2A4D603E" w14:textId="77777777" w:rsidR="005D0138" w:rsidRPr="00061AA1" w:rsidRDefault="005D0138" w:rsidP="005D0138">
                  <w:pPr>
                    <w:rPr>
                      <w:rFonts w:eastAsia="SimSun"/>
                      <w:sz w:val="22"/>
                      <w:szCs w:val="22"/>
                    </w:rPr>
                  </w:pPr>
                  <w:r w:rsidRPr="00CC792C">
                    <w:rPr>
                      <w:rFonts w:eastAsia="SimSun"/>
                      <w:sz w:val="22"/>
                      <w:szCs w:val="22"/>
                    </w:rPr>
                    <w:t xml:space="preserve">Investec Asset Management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571F560" w14:textId="77777777" w:rsidR="005D0138" w:rsidRPr="00061AA1" w:rsidRDefault="005D0138" w:rsidP="005D0138">
                  <w:pPr>
                    <w:jc w:val="right"/>
                    <w:rPr>
                      <w:rFonts w:eastAsia="SimSun"/>
                      <w:sz w:val="22"/>
                      <w:szCs w:val="22"/>
                    </w:rPr>
                  </w:pPr>
                  <w:r w:rsidRPr="00CC792C">
                    <w:rPr>
                      <w:rFonts w:eastAsia="SimSun"/>
                      <w:sz w:val="22"/>
                      <w:szCs w:val="22"/>
                    </w:rPr>
                    <w:t>71,372,033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2FDF4F53" w14:textId="77777777" w:rsidR="005D0138" w:rsidRPr="00061AA1" w:rsidRDefault="005D0138" w:rsidP="005D0138">
                  <w:pPr>
                    <w:jc w:val="right"/>
                    <w:rPr>
                      <w:rFonts w:eastAsia="SimSun"/>
                      <w:sz w:val="22"/>
                      <w:szCs w:val="22"/>
                    </w:rPr>
                  </w:pPr>
                  <w:r w:rsidRPr="005D0138">
                    <w:rPr>
                      <w:rFonts w:eastAsia="SimSun"/>
                      <w:sz w:val="22"/>
                      <w:szCs w:val="22"/>
                    </w:rPr>
                    <w:t>5.63%</w:t>
                  </w:r>
                </w:p>
              </w:tc>
            </w:tr>
            <w:tr w:rsidR="005D0138" w:rsidRPr="0031027F" w14:paraId="0CDD952E" w14:textId="77777777" w:rsidTr="009C5075">
              <w:tc>
                <w:tcPr>
                  <w:tcW w:w="3539" w:type="dxa"/>
                  <w:tcBorders>
                    <w:top w:val="single" w:sz="4" w:space="0" w:color="auto"/>
                    <w:left w:val="single" w:sz="4" w:space="0" w:color="auto"/>
                    <w:bottom w:val="single" w:sz="4" w:space="0" w:color="auto"/>
                    <w:right w:val="single" w:sz="4" w:space="0" w:color="auto"/>
                  </w:tcBorders>
                  <w:shd w:val="clear" w:color="auto" w:fill="auto"/>
                </w:tcPr>
                <w:p w14:paraId="15DE109C" w14:textId="77777777" w:rsidR="005D0138" w:rsidRPr="00061AA1" w:rsidRDefault="005D0138" w:rsidP="005D0138">
                  <w:pPr>
                    <w:rPr>
                      <w:rFonts w:eastAsia="SimSun"/>
                      <w:sz w:val="22"/>
                      <w:szCs w:val="22"/>
                    </w:rPr>
                  </w:pPr>
                  <w:r w:rsidRPr="00CC792C">
                    <w:rPr>
                      <w:rFonts w:eastAsia="SimSun"/>
                      <w:sz w:val="22"/>
                      <w:szCs w:val="22"/>
                    </w:rPr>
                    <w:t>Old Mutual Plc</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32FDB9C" w14:textId="77777777" w:rsidR="005D0138" w:rsidRPr="00061AA1" w:rsidRDefault="005D0138" w:rsidP="005D0138">
                  <w:pPr>
                    <w:jc w:val="right"/>
                    <w:rPr>
                      <w:rFonts w:eastAsia="SimSun"/>
                      <w:sz w:val="22"/>
                      <w:szCs w:val="22"/>
                    </w:rPr>
                  </w:pPr>
                  <w:r w:rsidRPr="00CC792C">
                    <w:rPr>
                      <w:rFonts w:eastAsia="SimSun"/>
                      <w:sz w:val="22"/>
                      <w:szCs w:val="22"/>
                    </w:rPr>
                    <w:t>69,145,457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5E08A638" w14:textId="77777777" w:rsidR="005D0138" w:rsidRPr="00061AA1" w:rsidRDefault="005D0138" w:rsidP="005D0138">
                  <w:pPr>
                    <w:jc w:val="right"/>
                    <w:rPr>
                      <w:rFonts w:eastAsia="SimSun"/>
                      <w:sz w:val="22"/>
                      <w:szCs w:val="22"/>
                    </w:rPr>
                  </w:pPr>
                  <w:r w:rsidRPr="005D0138">
                    <w:rPr>
                      <w:rFonts w:eastAsia="SimSun"/>
                      <w:sz w:val="22"/>
                      <w:szCs w:val="22"/>
                    </w:rPr>
                    <w:t>5.46%</w:t>
                  </w:r>
                </w:p>
              </w:tc>
            </w:tr>
            <w:tr w:rsidR="005D0138" w:rsidRPr="0031027F" w14:paraId="59E3CC99" w14:textId="77777777" w:rsidTr="009C5075">
              <w:tc>
                <w:tcPr>
                  <w:tcW w:w="3539" w:type="dxa"/>
                  <w:tcBorders>
                    <w:top w:val="single" w:sz="4" w:space="0" w:color="auto"/>
                    <w:left w:val="single" w:sz="4" w:space="0" w:color="auto"/>
                    <w:bottom w:val="single" w:sz="4" w:space="0" w:color="auto"/>
                    <w:right w:val="single" w:sz="4" w:space="0" w:color="auto"/>
                  </w:tcBorders>
                  <w:shd w:val="clear" w:color="auto" w:fill="auto"/>
                </w:tcPr>
                <w:p w14:paraId="2BB0C03B" w14:textId="77777777" w:rsidR="005D0138" w:rsidRPr="00061AA1" w:rsidRDefault="005D0138" w:rsidP="005D0138">
                  <w:pPr>
                    <w:rPr>
                      <w:rFonts w:eastAsia="SimSun"/>
                      <w:sz w:val="22"/>
                      <w:szCs w:val="22"/>
                    </w:rPr>
                  </w:pPr>
                  <w:r w:rsidRPr="00CC792C">
                    <w:rPr>
                      <w:rFonts w:eastAsia="SimSun"/>
                      <w:sz w:val="22"/>
                      <w:szCs w:val="22"/>
                    </w:rPr>
                    <w:t>Solway Finance Limited</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6CB6BF4" w14:textId="77777777" w:rsidR="005D0138" w:rsidRPr="00061AA1" w:rsidRDefault="005D0138" w:rsidP="005D0138">
                  <w:pPr>
                    <w:jc w:val="right"/>
                    <w:rPr>
                      <w:rFonts w:eastAsia="SimSun"/>
                      <w:sz w:val="22"/>
                      <w:szCs w:val="22"/>
                    </w:rPr>
                  </w:pPr>
                  <w:r w:rsidRPr="00CC792C">
                    <w:rPr>
                      <w:rFonts w:eastAsia="SimSun"/>
                      <w:sz w:val="22"/>
                      <w:szCs w:val="22"/>
                    </w:rPr>
                    <w:t>67,386,056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34F94549" w14:textId="77777777" w:rsidR="005D0138" w:rsidRPr="00061AA1" w:rsidRDefault="005D0138" w:rsidP="005D0138">
                  <w:pPr>
                    <w:jc w:val="right"/>
                    <w:rPr>
                      <w:rFonts w:eastAsia="SimSun"/>
                      <w:sz w:val="22"/>
                      <w:szCs w:val="22"/>
                    </w:rPr>
                  </w:pPr>
                  <w:r w:rsidRPr="005D0138">
                    <w:rPr>
                      <w:rFonts w:eastAsia="SimSun"/>
                      <w:sz w:val="22"/>
                      <w:szCs w:val="22"/>
                    </w:rPr>
                    <w:t>5.32%</w:t>
                  </w:r>
                </w:p>
              </w:tc>
            </w:tr>
            <w:tr w:rsidR="00A95F71" w:rsidRPr="0031027F" w14:paraId="5056AD1D" w14:textId="77777777" w:rsidTr="009C5075">
              <w:tc>
                <w:tcPr>
                  <w:tcW w:w="3539" w:type="dxa"/>
                  <w:tcBorders>
                    <w:top w:val="single" w:sz="4" w:space="0" w:color="auto"/>
                    <w:left w:val="single" w:sz="4" w:space="0" w:color="auto"/>
                    <w:bottom w:val="single" w:sz="4" w:space="0" w:color="auto"/>
                    <w:right w:val="single" w:sz="4" w:space="0" w:color="auto"/>
                  </w:tcBorders>
                  <w:shd w:val="clear" w:color="auto" w:fill="auto"/>
                </w:tcPr>
                <w:p w14:paraId="132CE393" w14:textId="77777777" w:rsidR="00A95F71" w:rsidRPr="00CC792C" w:rsidRDefault="00A95F71" w:rsidP="00A95F71">
                  <w:pPr>
                    <w:rPr>
                      <w:rFonts w:eastAsia="SimSun"/>
                      <w:sz w:val="22"/>
                      <w:szCs w:val="22"/>
                    </w:rPr>
                  </w:pPr>
                  <w:r>
                    <w:rPr>
                      <w:rFonts w:eastAsia="SimSun"/>
                      <w:sz w:val="22"/>
                      <w:szCs w:val="22"/>
                    </w:rPr>
                    <w:t>Investec Bank****</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C2337A6" w14:textId="77777777" w:rsidR="00A95F71" w:rsidRPr="00CC792C" w:rsidRDefault="00A95F71" w:rsidP="00A95F71">
                  <w:pPr>
                    <w:jc w:val="right"/>
                    <w:rPr>
                      <w:rFonts w:eastAsia="SimSun"/>
                      <w:sz w:val="22"/>
                      <w:szCs w:val="22"/>
                    </w:rPr>
                  </w:pPr>
                  <w:r>
                    <w:rPr>
                      <w:rFonts w:eastAsia="SimSun"/>
                      <w:sz w:val="22"/>
                      <w:szCs w:val="22"/>
                    </w:rPr>
                    <w:t>60,228,829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2E1AAC74" w14:textId="77777777" w:rsidR="00A95F71" w:rsidRPr="005D0138" w:rsidRDefault="00A95F71" w:rsidP="00A95F71">
                  <w:pPr>
                    <w:jc w:val="right"/>
                    <w:rPr>
                      <w:rFonts w:eastAsia="SimSun"/>
                      <w:sz w:val="22"/>
                      <w:szCs w:val="22"/>
                    </w:rPr>
                  </w:pPr>
                  <w:r>
                    <w:rPr>
                      <w:rFonts w:eastAsia="SimSun"/>
                      <w:sz w:val="22"/>
                      <w:szCs w:val="22"/>
                    </w:rPr>
                    <w:t>4.75%</w:t>
                  </w:r>
                </w:p>
              </w:tc>
            </w:tr>
            <w:tr w:rsidR="00A95F71" w:rsidRPr="0031027F" w14:paraId="5EEC831C" w14:textId="77777777" w:rsidTr="009C5075">
              <w:tc>
                <w:tcPr>
                  <w:tcW w:w="3539" w:type="dxa"/>
                  <w:tcBorders>
                    <w:top w:val="single" w:sz="4" w:space="0" w:color="auto"/>
                    <w:left w:val="single" w:sz="4" w:space="0" w:color="auto"/>
                    <w:bottom w:val="single" w:sz="4" w:space="0" w:color="auto"/>
                    <w:right w:val="single" w:sz="4" w:space="0" w:color="auto"/>
                  </w:tcBorders>
                  <w:shd w:val="clear" w:color="auto" w:fill="auto"/>
                </w:tcPr>
                <w:p w14:paraId="283C1C9C" w14:textId="77777777" w:rsidR="00A95F71" w:rsidRPr="00061AA1" w:rsidRDefault="00A95F71" w:rsidP="00A95F71">
                  <w:pPr>
                    <w:rPr>
                      <w:rFonts w:eastAsia="SimSun"/>
                      <w:sz w:val="22"/>
                      <w:szCs w:val="22"/>
                    </w:rPr>
                  </w:pPr>
                  <w:r w:rsidRPr="00CC792C">
                    <w:rPr>
                      <w:rFonts w:eastAsia="SimSun"/>
                      <w:sz w:val="22"/>
                      <w:szCs w:val="22"/>
                    </w:rPr>
                    <w:t xml:space="preserve">Hof Hoorneman Bankiers </w:t>
                  </w:r>
                  <w:proofErr w:type="gramStart"/>
                  <w:r w:rsidRPr="00CC792C">
                    <w:rPr>
                      <w:rFonts w:eastAsia="SimSun"/>
                      <w:sz w:val="22"/>
                      <w:szCs w:val="22"/>
                    </w:rPr>
                    <w:t>N.V</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52255CE" w14:textId="77777777" w:rsidR="00A95F71" w:rsidRPr="00061AA1" w:rsidRDefault="00A95F71" w:rsidP="00A95F71">
                  <w:pPr>
                    <w:jc w:val="right"/>
                    <w:rPr>
                      <w:rFonts w:eastAsia="SimSun"/>
                      <w:sz w:val="22"/>
                      <w:szCs w:val="22"/>
                    </w:rPr>
                  </w:pPr>
                  <w:r w:rsidRPr="00CC792C">
                    <w:rPr>
                      <w:rFonts w:eastAsia="SimSun"/>
                      <w:sz w:val="22"/>
                      <w:szCs w:val="22"/>
                    </w:rPr>
                    <w:t>39,298,250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31427E1A" w14:textId="77777777" w:rsidR="00A95F71" w:rsidRPr="00061AA1" w:rsidRDefault="00A95F71" w:rsidP="00A95F71">
                  <w:pPr>
                    <w:jc w:val="right"/>
                    <w:rPr>
                      <w:rFonts w:eastAsia="SimSun"/>
                      <w:sz w:val="22"/>
                      <w:szCs w:val="22"/>
                    </w:rPr>
                  </w:pPr>
                  <w:r w:rsidRPr="005D0138">
                    <w:rPr>
                      <w:rFonts w:eastAsia="SimSun"/>
                      <w:sz w:val="22"/>
                      <w:szCs w:val="22"/>
                    </w:rPr>
                    <w:t>3.10%</w:t>
                  </w:r>
                </w:p>
              </w:tc>
            </w:tr>
            <w:tr w:rsidR="00A95F71" w:rsidRPr="0031027F" w14:paraId="16CA97E6" w14:textId="77777777" w:rsidTr="00536689">
              <w:tc>
                <w:tcPr>
                  <w:tcW w:w="8784" w:type="dxa"/>
                  <w:gridSpan w:val="3"/>
                  <w:tcBorders>
                    <w:top w:val="single" w:sz="4" w:space="0" w:color="auto"/>
                    <w:left w:val="single" w:sz="4" w:space="0" w:color="auto"/>
                    <w:bottom w:val="single" w:sz="4" w:space="0" w:color="auto"/>
                    <w:right w:val="single" w:sz="4" w:space="0" w:color="auto"/>
                  </w:tcBorders>
                  <w:shd w:val="clear" w:color="auto" w:fill="auto"/>
                </w:tcPr>
                <w:p w14:paraId="326EB6F1" w14:textId="77777777" w:rsidR="00A95F71" w:rsidRDefault="00A95F71" w:rsidP="00A95F71">
                  <w:pPr>
                    <w:jc w:val="both"/>
                    <w:rPr>
                      <w:rFonts w:eastAsia="SimSun" w:cs="Arial"/>
                      <w:sz w:val="22"/>
                      <w:szCs w:val="22"/>
                    </w:rPr>
                  </w:pPr>
                  <w:r w:rsidRPr="00061AA1">
                    <w:rPr>
                      <w:rFonts w:eastAsia="SimSun" w:cs="Arial"/>
                      <w:sz w:val="22"/>
                      <w:szCs w:val="22"/>
                    </w:rPr>
                    <w:t xml:space="preserve">*Dr Wiese, Non-Executive Director, holds indirect interests in Gemfields shares via various entities, totalling </w:t>
                  </w:r>
                  <w:r>
                    <w:rPr>
                      <w:rFonts w:eastAsia="SimSun" w:cs="Arial"/>
                      <w:sz w:val="22"/>
                      <w:szCs w:val="22"/>
                    </w:rPr>
                    <w:t>12.65</w:t>
                  </w:r>
                  <w:r w:rsidRPr="00061AA1">
                    <w:rPr>
                      <w:rFonts w:eastAsia="SimSun" w:cs="Arial"/>
                      <w:sz w:val="22"/>
                      <w:szCs w:val="22"/>
                    </w:rPr>
                    <w:t xml:space="preserve">%. In addition, certain shares are </w:t>
                  </w:r>
                  <w:r>
                    <w:rPr>
                      <w:rFonts w:eastAsia="SimSun" w:cs="Arial"/>
                      <w:sz w:val="22"/>
                      <w:szCs w:val="22"/>
                    </w:rPr>
                    <w:t>held by</w:t>
                  </w:r>
                  <w:r w:rsidRPr="00061AA1">
                    <w:rPr>
                      <w:rFonts w:eastAsia="SimSun" w:cs="Arial"/>
                      <w:sz w:val="22"/>
                      <w:szCs w:val="22"/>
                    </w:rPr>
                    <w:t xml:space="preserve"> members of Dr Wiese’s immediate family</w:t>
                  </w:r>
                  <w:r>
                    <w:rPr>
                      <w:rFonts w:eastAsia="SimSun" w:cs="Arial"/>
                      <w:sz w:val="22"/>
                      <w:szCs w:val="22"/>
                    </w:rPr>
                    <w:t xml:space="preserve"> (2,204,700 shares)</w:t>
                  </w:r>
                  <w:r w:rsidRPr="00061AA1">
                    <w:rPr>
                      <w:rFonts w:eastAsia="SimSun" w:cs="Arial"/>
                      <w:sz w:val="22"/>
                      <w:szCs w:val="22"/>
                    </w:rPr>
                    <w:t>, totalling a further 0.1</w:t>
                  </w:r>
                  <w:r>
                    <w:rPr>
                      <w:rFonts w:eastAsia="SimSun" w:cs="Arial"/>
                      <w:sz w:val="22"/>
                      <w:szCs w:val="22"/>
                    </w:rPr>
                    <w:t>7</w:t>
                  </w:r>
                  <w:r w:rsidRPr="00061AA1">
                    <w:rPr>
                      <w:rFonts w:eastAsia="SimSun" w:cs="Arial"/>
                      <w:sz w:val="22"/>
                      <w:szCs w:val="22"/>
                    </w:rPr>
                    <w:t>%</w:t>
                  </w:r>
                </w:p>
                <w:p w14:paraId="5C6D195C" w14:textId="77777777" w:rsidR="00A95F71" w:rsidRDefault="00A95F71" w:rsidP="00A95F71">
                  <w:pPr>
                    <w:jc w:val="both"/>
                    <w:rPr>
                      <w:rFonts w:eastAsia="SimSun" w:cs="Arial"/>
                      <w:sz w:val="22"/>
                      <w:szCs w:val="22"/>
                    </w:rPr>
                  </w:pPr>
                  <w:r>
                    <w:rPr>
                      <w:rFonts w:eastAsia="SimSun" w:cs="Arial"/>
                      <w:sz w:val="22"/>
                      <w:szCs w:val="22"/>
                    </w:rPr>
                    <w:t xml:space="preserve">** </w:t>
                  </w:r>
                  <w:r w:rsidRPr="00354A23">
                    <w:rPr>
                      <w:rFonts w:eastAsia="SimSun" w:cs="Arial"/>
                      <w:sz w:val="22"/>
                      <w:szCs w:val="22"/>
                    </w:rPr>
                    <w:t>The Company’s interest in its own shares is 96,276,146 or 7.60%</w:t>
                  </w:r>
                  <w:r>
                    <w:rPr>
                      <w:rFonts w:eastAsia="SimSun" w:cs="Arial"/>
                      <w:sz w:val="22"/>
                      <w:szCs w:val="22"/>
                    </w:rPr>
                    <w:t xml:space="preserve"> via a </w:t>
                  </w:r>
                  <w:proofErr w:type="gramStart"/>
                  <w:r>
                    <w:rPr>
                      <w:rFonts w:eastAsia="SimSun" w:cs="Arial"/>
                      <w:sz w:val="22"/>
                      <w:szCs w:val="22"/>
                    </w:rPr>
                    <w:t>wholly-owned</w:t>
                  </w:r>
                  <w:proofErr w:type="gramEnd"/>
                  <w:r>
                    <w:rPr>
                      <w:rFonts w:eastAsia="SimSun" w:cs="Arial"/>
                      <w:sz w:val="22"/>
                      <w:szCs w:val="22"/>
                    </w:rPr>
                    <w:t xml:space="preserve"> subsidiary</w:t>
                  </w:r>
                </w:p>
                <w:p w14:paraId="6072C825" w14:textId="77777777" w:rsidR="00A95F71" w:rsidRDefault="00A95F71" w:rsidP="00A95F71">
                  <w:pPr>
                    <w:jc w:val="both"/>
                    <w:rPr>
                      <w:rFonts w:eastAsia="SimSun" w:cs="Arial"/>
                      <w:sz w:val="22"/>
                      <w:szCs w:val="22"/>
                    </w:rPr>
                  </w:pPr>
                  <w:r>
                    <w:rPr>
                      <w:rFonts w:eastAsia="SimSun" w:cs="Arial"/>
                      <w:sz w:val="22"/>
                      <w:szCs w:val="22"/>
                    </w:rPr>
                    <w:t>***</w:t>
                  </w:r>
                  <w:r w:rsidRPr="00354A23">
                    <w:rPr>
                      <w:rFonts w:eastAsia="SimSun" w:cs="Arial"/>
                      <w:sz w:val="22"/>
                      <w:szCs w:val="22"/>
                    </w:rPr>
                    <w:t>The Oasis shareholding includes interests held by Oasis Asset Management and Oasis Crescent Capital</w:t>
                  </w:r>
                </w:p>
                <w:p w14:paraId="2E751899" w14:textId="77777777" w:rsidR="00A95F71" w:rsidRDefault="00A95F71" w:rsidP="00A95F71">
                  <w:pPr>
                    <w:jc w:val="both"/>
                    <w:rPr>
                      <w:rFonts w:eastAsia="SimSun" w:cs="Arial"/>
                      <w:sz w:val="22"/>
                      <w:szCs w:val="22"/>
                    </w:rPr>
                  </w:pPr>
                  <w:r w:rsidRPr="00A95F71">
                    <w:rPr>
                      <w:rFonts w:eastAsia="SimSun" w:cs="Arial"/>
                      <w:sz w:val="22"/>
                      <w:szCs w:val="22"/>
                    </w:rPr>
                    <w:t>**** Made up of 36,619,127 Ordinary Shares held by Investec Investments (UK) Limited and 23,609,702 Ordinary Shares held by Investec Bank (Mauritius) Limited</w:t>
                  </w:r>
                  <w:r>
                    <w:rPr>
                      <w:rFonts w:eastAsia="SimSun" w:cs="Arial"/>
                      <w:sz w:val="22"/>
                      <w:szCs w:val="22"/>
                    </w:rPr>
                    <w:t>.</w:t>
                  </w:r>
                </w:p>
                <w:p w14:paraId="5D3D614C" w14:textId="77777777" w:rsidR="00A95F71" w:rsidRPr="00061AA1" w:rsidRDefault="00A95F71" w:rsidP="00A95F71">
                  <w:pPr>
                    <w:rPr>
                      <w:rFonts w:eastAsia="SimSun"/>
                      <w:sz w:val="22"/>
                      <w:szCs w:val="22"/>
                    </w:rPr>
                  </w:pPr>
                </w:p>
              </w:tc>
            </w:tr>
          </w:tbl>
          <w:p w14:paraId="75320C9F" w14:textId="77777777" w:rsidR="003D2BB8" w:rsidRDefault="003D2BB8" w:rsidP="005B4431">
            <w:pPr>
              <w:rPr>
                <w:sz w:val="22"/>
              </w:rPr>
            </w:pPr>
          </w:p>
        </w:tc>
      </w:tr>
      <w:tr w:rsidR="00A163ED" w14:paraId="2FB6EB58" w14:textId="77777777" w:rsidTr="00257DEF">
        <w:tblPrEx>
          <w:tblCellMar>
            <w:top w:w="0" w:type="dxa"/>
            <w:bottom w:w="0" w:type="dxa"/>
          </w:tblCellMar>
        </w:tblPrEx>
        <w:tc>
          <w:tcPr>
            <w:tcW w:w="9073" w:type="dxa"/>
            <w:shd w:val="pct10" w:color="auto" w:fill="auto"/>
          </w:tcPr>
          <w:p w14:paraId="58BB97AF" w14:textId="77777777" w:rsidR="00A163ED" w:rsidRDefault="00A163ED" w:rsidP="005B4431">
            <w:pPr>
              <w:rPr>
                <w:sz w:val="22"/>
              </w:rPr>
            </w:pPr>
            <w:r>
              <w:rPr>
                <w:sz w:val="22"/>
              </w:rPr>
              <w:t>NAMES OF ALL PERSONS TO BE DISCLOSED IN ACCORDANCE WITH SCHEDULE 2, PARAGRAPH (</w:t>
            </w:r>
            <w:r w:rsidR="00CC7638">
              <w:rPr>
                <w:sz w:val="22"/>
              </w:rPr>
              <w:t>H</w:t>
            </w:r>
            <w:r w:rsidR="00650E5A">
              <w:rPr>
                <w:sz w:val="22"/>
              </w:rPr>
              <w:t>) OF THE AIM RULES</w:t>
            </w:r>
            <w:r>
              <w:rPr>
                <w:sz w:val="22"/>
              </w:rPr>
              <w:t>:</w:t>
            </w:r>
          </w:p>
        </w:tc>
      </w:tr>
      <w:tr w:rsidR="00A163ED" w14:paraId="2127DB5C" w14:textId="77777777" w:rsidTr="00617987">
        <w:tblPrEx>
          <w:tblCellMar>
            <w:top w:w="0" w:type="dxa"/>
            <w:bottom w:w="0" w:type="dxa"/>
          </w:tblCellMar>
        </w:tblPrEx>
        <w:tc>
          <w:tcPr>
            <w:tcW w:w="9073" w:type="dxa"/>
            <w:shd w:val="clear" w:color="auto" w:fill="auto"/>
          </w:tcPr>
          <w:p w14:paraId="176F4F7C" w14:textId="77777777" w:rsidR="00A163ED" w:rsidRDefault="00B423A1" w:rsidP="005B4431">
            <w:pPr>
              <w:rPr>
                <w:sz w:val="22"/>
              </w:rPr>
            </w:pPr>
            <w:r>
              <w:rPr>
                <w:sz w:val="22"/>
              </w:rPr>
              <w:t>There are no such persons.</w:t>
            </w:r>
          </w:p>
          <w:p w14:paraId="24490A96" w14:textId="77777777" w:rsidR="003D2BB8" w:rsidRDefault="003D2BB8" w:rsidP="005B4431">
            <w:pPr>
              <w:rPr>
                <w:sz w:val="22"/>
              </w:rPr>
            </w:pPr>
          </w:p>
        </w:tc>
      </w:tr>
      <w:tr w:rsidR="00A163ED" w14:paraId="6101C041" w14:textId="77777777" w:rsidTr="00257DEF">
        <w:tblPrEx>
          <w:tblCellMar>
            <w:top w:w="0" w:type="dxa"/>
            <w:bottom w:w="0" w:type="dxa"/>
          </w:tblCellMar>
        </w:tblPrEx>
        <w:tc>
          <w:tcPr>
            <w:tcW w:w="9073" w:type="dxa"/>
            <w:shd w:val="pct10" w:color="auto" w:fill="FFFFFF"/>
          </w:tcPr>
          <w:p w14:paraId="11171B1C" w14:textId="77777777" w:rsidR="00F561AE" w:rsidRDefault="00A163ED" w:rsidP="005B4431">
            <w:pPr>
              <w:numPr>
                <w:ilvl w:val="0"/>
                <w:numId w:val="2"/>
              </w:numPr>
              <w:rPr>
                <w:sz w:val="22"/>
              </w:rPr>
            </w:pPr>
            <w:r>
              <w:rPr>
                <w:sz w:val="22"/>
              </w:rPr>
              <w:t>ANTICIPATED ACCOUNTING REFERENCE DATE</w:t>
            </w:r>
            <w:r w:rsidR="00F235FA">
              <w:rPr>
                <w:sz w:val="22"/>
              </w:rPr>
              <w:t xml:space="preserve"> </w:t>
            </w:r>
          </w:p>
          <w:p w14:paraId="3E77CDF9" w14:textId="77777777" w:rsidR="00F561AE" w:rsidRDefault="00F561AE" w:rsidP="005B4431">
            <w:pPr>
              <w:numPr>
                <w:ilvl w:val="0"/>
                <w:numId w:val="2"/>
              </w:numPr>
              <w:rPr>
                <w:sz w:val="22"/>
              </w:rPr>
            </w:pPr>
            <w:r>
              <w:rPr>
                <w:sz w:val="22"/>
              </w:rPr>
              <w:t xml:space="preserve">DATE TO WHICH THE </w:t>
            </w:r>
            <w:r w:rsidRPr="00BD13AB">
              <w:rPr>
                <w:sz w:val="22"/>
                <w:u w:val="single"/>
              </w:rPr>
              <w:t>MAIN FINANCIAL INFORMATION</w:t>
            </w:r>
            <w:r>
              <w:rPr>
                <w:sz w:val="22"/>
              </w:rPr>
              <w:t xml:space="preserve"> IN THE ADMISSION DOCUMENT HAS BEEN PREPARED</w:t>
            </w:r>
            <w:r w:rsidR="00FF21EC">
              <w:rPr>
                <w:sz w:val="22"/>
              </w:rPr>
              <w:t xml:space="preserve"> (this may be represented by unaudited interim financial information)</w:t>
            </w:r>
          </w:p>
          <w:p w14:paraId="1525AA44" w14:textId="77777777" w:rsidR="00A163ED" w:rsidRDefault="00F561AE" w:rsidP="005B4431">
            <w:pPr>
              <w:numPr>
                <w:ilvl w:val="0"/>
                <w:numId w:val="2"/>
              </w:numPr>
              <w:rPr>
                <w:sz w:val="22"/>
              </w:rPr>
            </w:pPr>
            <w:r>
              <w:rPr>
                <w:sz w:val="22"/>
              </w:rPr>
              <w:t xml:space="preserve">DATES BY WHICH IT MUST PUBLISH ITS FIRST THREE REPORTS </w:t>
            </w:r>
            <w:r w:rsidR="00BD13AB">
              <w:rPr>
                <w:sz w:val="22"/>
              </w:rPr>
              <w:t>PURSUANT TO</w:t>
            </w:r>
            <w:r>
              <w:rPr>
                <w:sz w:val="22"/>
              </w:rPr>
              <w:t xml:space="preserve"> AIM RULES 18 AND 19</w:t>
            </w:r>
            <w:r w:rsidR="00A163ED">
              <w:rPr>
                <w:sz w:val="22"/>
              </w:rPr>
              <w:t>:</w:t>
            </w:r>
          </w:p>
        </w:tc>
      </w:tr>
      <w:tr w:rsidR="00A163ED" w14:paraId="0E1B0EDB" w14:textId="77777777" w:rsidTr="00257DEF">
        <w:tblPrEx>
          <w:tblCellMar>
            <w:top w:w="0" w:type="dxa"/>
            <w:bottom w:w="0" w:type="dxa"/>
          </w:tblCellMar>
        </w:tblPrEx>
        <w:tc>
          <w:tcPr>
            <w:tcW w:w="9073" w:type="dxa"/>
          </w:tcPr>
          <w:p w14:paraId="1B395761" w14:textId="77777777" w:rsidR="003D2BB8" w:rsidRDefault="002B2E87" w:rsidP="002B2E87">
            <w:pPr>
              <w:numPr>
                <w:ilvl w:val="0"/>
                <w:numId w:val="3"/>
              </w:numPr>
              <w:rPr>
                <w:sz w:val="22"/>
              </w:rPr>
            </w:pPr>
            <w:r>
              <w:rPr>
                <w:sz w:val="22"/>
              </w:rPr>
              <w:t xml:space="preserve">31 December </w:t>
            </w:r>
          </w:p>
          <w:p w14:paraId="01D9EEF2" w14:textId="77777777" w:rsidR="008521E9" w:rsidRDefault="002B2E87" w:rsidP="008521E9">
            <w:pPr>
              <w:numPr>
                <w:ilvl w:val="0"/>
                <w:numId w:val="3"/>
              </w:numPr>
              <w:rPr>
                <w:sz w:val="22"/>
              </w:rPr>
            </w:pPr>
            <w:r>
              <w:rPr>
                <w:sz w:val="22"/>
              </w:rPr>
              <w:t>N/A</w:t>
            </w:r>
          </w:p>
          <w:p w14:paraId="20B07110" w14:textId="77777777" w:rsidR="002B2E87" w:rsidRDefault="008521E9" w:rsidP="008521E9">
            <w:pPr>
              <w:numPr>
                <w:ilvl w:val="0"/>
                <w:numId w:val="3"/>
              </w:numPr>
              <w:rPr>
                <w:sz w:val="22"/>
              </w:rPr>
            </w:pPr>
            <w:r w:rsidRPr="008521E9">
              <w:rPr>
                <w:sz w:val="22"/>
              </w:rPr>
              <w:t>By 31 June 2020 (annual results for the year ended 31 December 2019)</w:t>
            </w:r>
            <w:r>
              <w:rPr>
                <w:sz w:val="22"/>
              </w:rPr>
              <w:t>;</w:t>
            </w:r>
          </w:p>
          <w:p w14:paraId="2BEE40AB" w14:textId="77777777" w:rsidR="008521E9" w:rsidRDefault="008521E9" w:rsidP="008521E9">
            <w:pPr>
              <w:ind w:left="360"/>
              <w:rPr>
                <w:sz w:val="22"/>
              </w:rPr>
            </w:pPr>
            <w:r>
              <w:rPr>
                <w:sz w:val="22"/>
              </w:rPr>
              <w:t xml:space="preserve">      By 30 September 2020 (interim results for the 6 months to 31 July 20</w:t>
            </w:r>
            <w:r w:rsidR="00B423A1">
              <w:rPr>
                <w:sz w:val="22"/>
              </w:rPr>
              <w:t>20</w:t>
            </w:r>
            <w:r>
              <w:rPr>
                <w:sz w:val="22"/>
              </w:rPr>
              <w:t xml:space="preserve">); and </w:t>
            </w:r>
          </w:p>
          <w:p w14:paraId="6E33A008" w14:textId="77777777" w:rsidR="008521E9" w:rsidRDefault="008521E9" w:rsidP="008521E9">
            <w:pPr>
              <w:ind w:left="360"/>
              <w:rPr>
                <w:sz w:val="22"/>
              </w:rPr>
            </w:pPr>
            <w:r>
              <w:rPr>
                <w:sz w:val="22"/>
              </w:rPr>
              <w:t xml:space="preserve">      </w:t>
            </w:r>
            <w:r w:rsidRPr="008521E9">
              <w:rPr>
                <w:sz w:val="22"/>
              </w:rPr>
              <w:t>By 31 June 202</w:t>
            </w:r>
            <w:r>
              <w:rPr>
                <w:sz w:val="22"/>
              </w:rPr>
              <w:t>1</w:t>
            </w:r>
            <w:r w:rsidRPr="008521E9">
              <w:rPr>
                <w:sz w:val="22"/>
              </w:rPr>
              <w:t xml:space="preserve"> (annual results for the year ended 31 December 20</w:t>
            </w:r>
            <w:r>
              <w:rPr>
                <w:sz w:val="22"/>
              </w:rPr>
              <w:t>20</w:t>
            </w:r>
            <w:r w:rsidRPr="008521E9">
              <w:rPr>
                <w:sz w:val="22"/>
              </w:rPr>
              <w:t>)</w:t>
            </w:r>
            <w:r>
              <w:rPr>
                <w:sz w:val="22"/>
              </w:rPr>
              <w:t>;</w:t>
            </w:r>
          </w:p>
          <w:p w14:paraId="4D8F50C9" w14:textId="77777777" w:rsidR="008521E9" w:rsidRPr="008521E9" w:rsidRDefault="008521E9" w:rsidP="008521E9">
            <w:pPr>
              <w:ind w:left="360"/>
              <w:rPr>
                <w:sz w:val="22"/>
              </w:rPr>
            </w:pPr>
          </w:p>
        </w:tc>
      </w:tr>
      <w:tr w:rsidR="00A163ED" w14:paraId="3CBE04DD" w14:textId="77777777" w:rsidTr="00257DEF">
        <w:tblPrEx>
          <w:tblCellMar>
            <w:top w:w="0" w:type="dxa"/>
            <w:bottom w:w="0" w:type="dxa"/>
          </w:tblCellMar>
        </w:tblPrEx>
        <w:tc>
          <w:tcPr>
            <w:tcW w:w="9073" w:type="dxa"/>
            <w:shd w:val="pct10" w:color="auto" w:fill="auto"/>
          </w:tcPr>
          <w:p w14:paraId="3F15A73F" w14:textId="77777777" w:rsidR="00A163ED" w:rsidRDefault="00A163ED" w:rsidP="005B4431">
            <w:pPr>
              <w:rPr>
                <w:sz w:val="22"/>
              </w:rPr>
            </w:pPr>
            <w:r>
              <w:rPr>
                <w:sz w:val="22"/>
              </w:rPr>
              <w:t>EXPECTED ADMISSION DATE:</w:t>
            </w:r>
          </w:p>
        </w:tc>
      </w:tr>
      <w:tr w:rsidR="00A163ED" w14:paraId="4861A131" w14:textId="77777777" w:rsidTr="00257DEF">
        <w:tblPrEx>
          <w:tblCellMar>
            <w:top w:w="0" w:type="dxa"/>
            <w:bottom w:w="0" w:type="dxa"/>
          </w:tblCellMar>
        </w:tblPrEx>
        <w:tc>
          <w:tcPr>
            <w:tcW w:w="9073" w:type="dxa"/>
          </w:tcPr>
          <w:p w14:paraId="60CD581E" w14:textId="77777777" w:rsidR="00A163ED" w:rsidRDefault="00170F22" w:rsidP="005B4431">
            <w:pPr>
              <w:rPr>
                <w:sz w:val="22"/>
              </w:rPr>
            </w:pPr>
            <w:r>
              <w:rPr>
                <w:sz w:val="22"/>
              </w:rPr>
              <w:t>1</w:t>
            </w:r>
            <w:r w:rsidR="007A25CC">
              <w:rPr>
                <w:sz w:val="22"/>
              </w:rPr>
              <w:t>4</w:t>
            </w:r>
            <w:r w:rsidR="000E53D4">
              <w:rPr>
                <w:sz w:val="22"/>
              </w:rPr>
              <w:t xml:space="preserve"> </w:t>
            </w:r>
            <w:r>
              <w:rPr>
                <w:sz w:val="22"/>
              </w:rPr>
              <w:t>February</w:t>
            </w:r>
            <w:r w:rsidR="000E53D4">
              <w:rPr>
                <w:sz w:val="22"/>
              </w:rPr>
              <w:t xml:space="preserve"> </w:t>
            </w:r>
            <w:r w:rsidR="00032861">
              <w:rPr>
                <w:sz w:val="22"/>
              </w:rPr>
              <w:t>20</w:t>
            </w:r>
            <w:r w:rsidR="00B423A1">
              <w:rPr>
                <w:sz w:val="22"/>
              </w:rPr>
              <w:t>20</w:t>
            </w:r>
          </w:p>
          <w:p w14:paraId="40BA5BD4" w14:textId="77777777" w:rsidR="003D2BB8" w:rsidRDefault="003D2BB8" w:rsidP="005B4431">
            <w:pPr>
              <w:rPr>
                <w:sz w:val="22"/>
              </w:rPr>
            </w:pPr>
          </w:p>
        </w:tc>
      </w:tr>
      <w:tr w:rsidR="00A163ED" w14:paraId="78C9D54C" w14:textId="77777777" w:rsidTr="00257DEF">
        <w:tblPrEx>
          <w:tblCellMar>
            <w:top w:w="0" w:type="dxa"/>
            <w:bottom w:w="0" w:type="dxa"/>
          </w:tblCellMar>
        </w:tblPrEx>
        <w:tc>
          <w:tcPr>
            <w:tcW w:w="9073" w:type="dxa"/>
            <w:shd w:val="pct10" w:color="auto" w:fill="auto"/>
          </w:tcPr>
          <w:p w14:paraId="6471B216" w14:textId="77777777" w:rsidR="00A163ED" w:rsidRDefault="00A163ED" w:rsidP="005B4431">
            <w:pPr>
              <w:rPr>
                <w:sz w:val="22"/>
              </w:rPr>
            </w:pPr>
            <w:r>
              <w:rPr>
                <w:sz w:val="22"/>
              </w:rPr>
              <w:t>NAME AND ADDRESS OF NOMINATED ADVISER:</w:t>
            </w:r>
          </w:p>
        </w:tc>
      </w:tr>
      <w:tr w:rsidR="00A163ED" w14:paraId="47A05E8A" w14:textId="77777777" w:rsidTr="00257DEF">
        <w:tblPrEx>
          <w:tblCellMar>
            <w:top w:w="0" w:type="dxa"/>
            <w:bottom w:w="0" w:type="dxa"/>
          </w:tblCellMar>
        </w:tblPrEx>
        <w:tc>
          <w:tcPr>
            <w:tcW w:w="9073" w:type="dxa"/>
          </w:tcPr>
          <w:p w14:paraId="7208C69B" w14:textId="77777777" w:rsidR="00A163ED" w:rsidRDefault="00032861" w:rsidP="005B4431">
            <w:pPr>
              <w:rPr>
                <w:sz w:val="22"/>
              </w:rPr>
            </w:pPr>
            <w:r>
              <w:rPr>
                <w:sz w:val="22"/>
              </w:rPr>
              <w:t xml:space="preserve">finnCap Limited </w:t>
            </w:r>
          </w:p>
          <w:p w14:paraId="55B82E34" w14:textId="77777777" w:rsidR="00032861" w:rsidRDefault="00032861" w:rsidP="005B4431">
            <w:pPr>
              <w:rPr>
                <w:sz w:val="22"/>
              </w:rPr>
            </w:pPr>
            <w:r>
              <w:rPr>
                <w:sz w:val="22"/>
              </w:rPr>
              <w:t xml:space="preserve">60 New Broad Street, </w:t>
            </w:r>
          </w:p>
          <w:p w14:paraId="15D17183" w14:textId="77777777" w:rsidR="00032861" w:rsidRDefault="00032861" w:rsidP="005B4431">
            <w:pPr>
              <w:rPr>
                <w:sz w:val="22"/>
              </w:rPr>
            </w:pPr>
            <w:r>
              <w:rPr>
                <w:sz w:val="22"/>
              </w:rPr>
              <w:t>London EC2M 1JJ</w:t>
            </w:r>
          </w:p>
          <w:p w14:paraId="1EFC624B" w14:textId="77777777" w:rsidR="00CC792C" w:rsidRDefault="00CC792C" w:rsidP="00CC792C">
            <w:pPr>
              <w:rPr>
                <w:sz w:val="22"/>
              </w:rPr>
            </w:pPr>
            <w:r>
              <w:rPr>
                <w:sz w:val="22"/>
              </w:rPr>
              <w:t>United Kingdom</w:t>
            </w:r>
          </w:p>
          <w:p w14:paraId="53539775" w14:textId="77777777" w:rsidR="00CC792C" w:rsidRDefault="00CC792C" w:rsidP="005B4431">
            <w:pPr>
              <w:rPr>
                <w:sz w:val="22"/>
              </w:rPr>
            </w:pPr>
          </w:p>
          <w:p w14:paraId="48E656E5" w14:textId="77777777" w:rsidR="003D2BB8" w:rsidRDefault="003D2BB8" w:rsidP="005B4431">
            <w:pPr>
              <w:rPr>
                <w:sz w:val="22"/>
              </w:rPr>
            </w:pPr>
          </w:p>
        </w:tc>
      </w:tr>
      <w:tr w:rsidR="00A163ED" w14:paraId="36C80377" w14:textId="77777777" w:rsidTr="00257DEF">
        <w:tblPrEx>
          <w:tblCellMar>
            <w:top w:w="0" w:type="dxa"/>
            <w:bottom w:w="0" w:type="dxa"/>
          </w:tblCellMar>
        </w:tblPrEx>
        <w:tc>
          <w:tcPr>
            <w:tcW w:w="9073" w:type="dxa"/>
            <w:shd w:val="pct10" w:color="auto" w:fill="auto"/>
          </w:tcPr>
          <w:p w14:paraId="6E57BBAE" w14:textId="77777777" w:rsidR="00A163ED" w:rsidRDefault="00A163ED" w:rsidP="005B4431">
            <w:pPr>
              <w:rPr>
                <w:sz w:val="22"/>
              </w:rPr>
            </w:pPr>
            <w:r>
              <w:rPr>
                <w:sz w:val="22"/>
              </w:rPr>
              <w:lastRenderedPageBreak/>
              <w:t>NAME AND ADDRESS OF BROKER:</w:t>
            </w:r>
          </w:p>
        </w:tc>
      </w:tr>
      <w:tr w:rsidR="00A163ED" w14:paraId="43EC29AB" w14:textId="77777777" w:rsidTr="00257DEF">
        <w:tblPrEx>
          <w:tblCellMar>
            <w:top w:w="0" w:type="dxa"/>
            <w:bottom w:w="0" w:type="dxa"/>
          </w:tblCellMar>
        </w:tblPrEx>
        <w:tc>
          <w:tcPr>
            <w:tcW w:w="9073" w:type="dxa"/>
          </w:tcPr>
          <w:p w14:paraId="3239AC72" w14:textId="77777777" w:rsidR="00032861" w:rsidRDefault="00032861" w:rsidP="00032861">
            <w:pPr>
              <w:rPr>
                <w:sz w:val="22"/>
              </w:rPr>
            </w:pPr>
            <w:r>
              <w:rPr>
                <w:sz w:val="22"/>
              </w:rPr>
              <w:t xml:space="preserve">finnCap Limited </w:t>
            </w:r>
          </w:p>
          <w:p w14:paraId="69995E70" w14:textId="77777777" w:rsidR="00032861" w:rsidRDefault="00032861" w:rsidP="00032861">
            <w:pPr>
              <w:rPr>
                <w:sz w:val="22"/>
              </w:rPr>
            </w:pPr>
            <w:r>
              <w:rPr>
                <w:sz w:val="22"/>
              </w:rPr>
              <w:t xml:space="preserve">60 New Broad Street, </w:t>
            </w:r>
          </w:p>
          <w:p w14:paraId="3BC8E467" w14:textId="77777777" w:rsidR="00032861" w:rsidRDefault="00032861" w:rsidP="00032861">
            <w:pPr>
              <w:rPr>
                <w:sz w:val="22"/>
              </w:rPr>
            </w:pPr>
            <w:r>
              <w:rPr>
                <w:sz w:val="22"/>
              </w:rPr>
              <w:t>London EC2M 1JJ</w:t>
            </w:r>
          </w:p>
          <w:p w14:paraId="24EF049C" w14:textId="77777777" w:rsidR="00032861" w:rsidRDefault="00032861" w:rsidP="00032861">
            <w:pPr>
              <w:rPr>
                <w:sz w:val="22"/>
              </w:rPr>
            </w:pPr>
            <w:r>
              <w:rPr>
                <w:sz w:val="22"/>
              </w:rPr>
              <w:t>United Kingdom</w:t>
            </w:r>
          </w:p>
          <w:p w14:paraId="00908933" w14:textId="77777777" w:rsidR="003D2BB8" w:rsidRDefault="003D2BB8" w:rsidP="00472B8A">
            <w:pPr>
              <w:rPr>
                <w:sz w:val="22"/>
              </w:rPr>
            </w:pPr>
          </w:p>
        </w:tc>
      </w:tr>
      <w:tr w:rsidR="00A163ED" w14:paraId="70DC02A4" w14:textId="77777777" w:rsidTr="00257DEF">
        <w:tblPrEx>
          <w:tblCellMar>
            <w:top w:w="0" w:type="dxa"/>
            <w:bottom w:w="0" w:type="dxa"/>
          </w:tblCellMar>
        </w:tblPrEx>
        <w:tc>
          <w:tcPr>
            <w:tcW w:w="9073" w:type="dxa"/>
            <w:shd w:val="pct10" w:color="auto" w:fill="auto"/>
          </w:tcPr>
          <w:p w14:paraId="56074B2E" w14:textId="77777777" w:rsidR="00A163ED" w:rsidRDefault="00F561AE" w:rsidP="005B4431">
            <w:pPr>
              <w:rPr>
                <w:sz w:val="22"/>
              </w:rPr>
            </w:pPr>
            <w:r>
              <w:rPr>
                <w:sz w:val="22"/>
              </w:rPr>
              <w:t xml:space="preserve">OTHER THAN IN THE CASE OF A </w:t>
            </w:r>
            <w:r w:rsidRPr="00BD13AB">
              <w:rPr>
                <w:sz w:val="22"/>
                <w:u w:val="single"/>
              </w:rPr>
              <w:t>QUOTED APPLICANT</w:t>
            </w:r>
            <w:r>
              <w:rPr>
                <w:sz w:val="22"/>
              </w:rPr>
              <w:t xml:space="preserve">, </w:t>
            </w:r>
            <w:r w:rsidR="00A163ED">
              <w:rPr>
                <w:sz w:val="22"/>
              </w:rPr>
              <w:t>DETAILS OF WHERE (POSTAL OR INTERNET ADDRESS) THE ADMISSION DOCUMENT</w:t>
            </w:r>
            <w:r w:rsidR="00F235FA">
              <w:rPr>
                <w:sz w:val="22"/>
              </w:rPr>
              <w:t xml:space="preserve"> </w:t>
            </w:r>
            <w:r w:rsidR="00A163ED">
              <w:rPr>
                <w:sz w:val="22"/>
              </w:rPr>
              <w:t>WILL BE AVAILABLE FROM, WITH A STATEMENT THAT THIS WILL CONTAIN FULL DETAILS ABOUT THE APPLICANT AND THE ADMISSION OF ITS SECURITIES:</w:t>
            </w:r>
          </w:p>
        </w:tc>
      </w:tr>
      <w:tr w:rsidR="00A163ED" w14:paraId="601164E2" w14:textId="77777777" w:rsidTr="004E110E">
        <w:tblPrEx>
          <w:tblCellMar>
            <w:top w:w="0" w:type="dxa"/>
            <w:bottom w:w="0" w:type="dxa"/>
          </w:tblCellMar>
        </w:tblPrEx>
        <w:trPr>
          <w:trHeight w:val="277"/>
        </w:trPr>
        <w:tc>
          <w:tcPr>
            <w:tcW w:w="9073" w:type="dxa"/>
            <w:shd w:val="clear" w:color="auto" w:fill="auto"/>
          </w:tcPr>
          <w:p w14:paraId="435E531A" w14:textId="77777777" w:rsidR="00A163ED" w:rsidRDefault="004E110E" w:rsidP="005B4431">
            <w:pPr>
              <w:rPr>
                <w:sz w:val="22"/>
              </w:rPr>
            </w:pPr>
            <w:r>
              <w:rPr>
                <w:sz w:val="22"/>
              </w:rPr>
              <w:t>N/A</w:t>
            </w:r>
          </w:p>
          <w:p w14:paraId="14A6DA4C" w14:textId="77777777" w:rsidR="003D2BB8" w:rsidRDefault="003D2BB8" w:rsidP="005B4431">
            <w:pPr>
              <w:rPr>
                <w:sz w:val="22"/>
              </w:rPr>
            </w:pPr>
          </w:p>
        </w:tc>
      </w:tr>
      <w:tr w:rsidR="004E5AA0" w14:paraId="4BD1A295" w14:textId="77777777" w:rsidTr="00727462">
        <w:tblPrEx>
          <w:tblCellMar>
            <w:top w:w="0" w:type="dxa"/>
            <w:bottom w:w="0" w:type="dxa"/>
          </w:tblCellMar>
        </w:tblPrEx>
        <w:trPr>
          <w:trHeight w:val="277"/>
        </w:trPr>
        <w:tc>
          <w:tcPr>
            <w:tcW w:w="9073" w:type="dxa"/>
            <w:shd w:val="clear" w:color="auto" w:fill="D9D9D9"/>
          </w:tcPr>
          <w:p w14:paraId="165812B0" w14:textId="77777777" w:rsidR="004E5AA0" w:rsidRDefault="004E5AA0" w:rsidP="0006083D">
            <w:pPr>
              <w:rPr>
                <w:sz w:val="22"/>
              </w:rPr>
            </w:pPr>
            <w:r>
              <w:rPr>
                <w:sz w:val="22"/>
              </w:rPr>
              <w:t>THE CORPORATE GOVERNANCE CODE THE APPLICANT HAS DECIDED TO APPLY</w:t>
            </w:r>
          </w:p>
        </w:tc>
      </w:tr>
      <w:tr w:rsidR="004E5AA0" w14:paraId="2E2FBCAA" w14:textId="77777777" w:rsidTr="00536689">
        <w:tblPrEx>
          <w:tblCellMar>
            <w:top w:w="0" w:type="dxa"/>
            <w:bottom w:w="0" w:type="dxa"/>
          </w:tblCellMar>
        </w:tblPrEx>
        <w:trPr>
          <w:trHeight w:val="277"/>
        </w:trPr>
        <w:tc>
          <w:tcPr>
            <w:tcW w:w="9073" w:type="dxa"/>
            <w:shd w:val="clear" w:color="auto" w:fill="auto"/>
          </w:tcPr>
          <w:p w14:paraId="44571442" w14:textId="77777777" w:rsidR="004E5AA0" w:rsidRDefault="00B423A1" w:rsidP="005B4431">
            <w:pPr>
              <w:rPr>
                <w:sz w:val="22"/>
              </w:rPr>
            </w:pPr>
            <w:r>
              <w:rPr>
                <w:sz w:val="22"/>
              </w:rPr>
              <w:t>The King IV Corporate Governance Code which is mandatory for JSE-listed companies</w:t>
            </w:r>
          </w:p>
          <w:p w14:paraId="5BB0F18E" w14:textId="77777777" w:rsidR="004E5AA0" w:rsidRDefault="004E5AA0" w:rsidP="005B4431">
            <w:pPr>
              <w:rPr>
                <w:sz w:val="22"/>
              </w:rPr>
            </w:pPr>
          </w:p>
        </w:tc>
      </w:tr>
      <w:tr w:rsidR="00A163ED" w14:paraId="69A090AE" w14:textId="77777777" w:rsidTr="00257DEF">
        <w:tblPrEx>
          <w:tblCellMar>
            <w:top w:w="0" w:type="dxa"/>
            <w:bottom w:w="0" w:type="dxa"/>
          </w:tblCellMar>
        </w:tblPrEx>
        <w:tc>
          <w:tcPr>
            <w:tcW w:w="9073" w:type="dxa"/>
            <w:shd w:val="pct12" w:color="auto" w:fill="auto"/>
          </w:tcPr>
          <w:p w14:paraId="786584B2" w14:textId="77777777" w:rsidR="00A163ED" w:rsidRDefault="00A163ED" w:rsidP="005B4431">
            <w:pPr>
              <w:rPr>
                <w:sz w:val="22"/>
              </w:rPr>
            </w:pPr>
            <w:r>
              <w:rPr>
                <w:sz w:val="22"/>
              </w:rPr>
              <w:t>DATE OF NOTIFICATION:</w:t>
            </w:r>
          </w:p>
        </w:tc>
      </w:tr>
      <w:tr w:rsidR="00A163ED" w14:paraId="08DA8E08" w14:textId="77777777" w:rsidTr="00257DEF">
        <w:tblPrEx>
          <w:tblCellMar>
            <w:top w:w="0" w:type="dxa"/>
            <w:bottom w:w="0" w:type="dxa"/>
          </w:tblCellMar>
        </w:tblPrEx>
        <w:tc>
          <w:tcPr>
            <w:tcW w:w="9073" w:type="dxa"/>
          </w:tcPr>
          <w:p w14:paraId="4FDB5254" w14:textId="77777777" w:rsidR="00A163ED" w:rsidRDefault="00B423A1" w:rsidP="005B4431">
            <w:pPr>
              <w:rPr>
                <w:sz w:val="22"/>
              </w:rPr>
            </w:pPr>
            <w:r>
              <w:rPr>
                <w:sz w:val="22"/>
              </w:rPr>
              <w:t>1</w:t>
            </w:r>
            <w:r w:rsidR="007A25CC">
              <w:rPr>
                <w:sz w:val="22"/>
              </w:rPr>
              <w:t>7</w:t>
            </w:r>
            <w:r w:rsidR="006F39CD">
              <w:rPr>
                <w:sz w:val="22"/>
              </w:rPr>
              <w:t xml:space="preserve"> January </w:t>
            </w:r>
            <w:r w:rsidR="00843853">
              <w:rPr>
                <w:sz w:val="22"/>
              </w:rPr>
              <w:t>20</w:t>
            </w:r>
            <w:r w:rsidR="00210708">
              <w:rPr>
                <w:sz w:val="22"/>
              </w:rPr>
              <w:t>20</w:t>
            </w:r>
          </w:p>
          <w:p w14:paraId="2BF248AB" w14:textId="77777777" w:rsidR="003D2BB8" w:rsidRDefault="003D2BB8" w:rsidP="005B4431">
            <w:pPr>
              <w:rPr>
                <w:sz w:val="22"/>
              </w:rPr>
            </w:pPr>
          </w:p>
        </w:tc>
      </w:tr>
      <w:tr w:rsidR="00A163ED" w14:paraId="42704E1B" w14:textId="77777777" w:rsidTr="00257DEF">
        <w:tblPrEx>
          <w:tblCellMar>
            <w:top w:w="0" w:type="dxa"/>
            <w:bottom w:w="0" w:type="dxa"/>
          </w:tblCellMar>
        </w:tblPrEx>
        <w:tc>
          <w:tcPr>
            <w:tcW w:w="9073" w:type="dxa"/>
            <w:shd w:val="pct10" w:color="auto" w:fill="auto"/>
          </w:tcPr>
          <w:p w14:paraId="43878E71" w14:textId="77777777" w:rsidR="00A163ED" w:rsidRDefault="00A163ED" w:rsidP="005B4431">
            <w:pPr>
              <w:rPr>
                <w:sz w:val="22"/>
              </w:rPr>
            </w:pPr>
            <w:r>
              <w:rPr>
                <w:sz w:val="22"/>
              </w:rPr>
              <w:t>NEW/ UPDATE:</w:t>
            </w:r>
          </w:p>
        </w:tc>
      </w:tr>
      <w:tr w:rsidR="00A163ED" w14:paraId="6FA708A2" w14:textId="77777777" w:rsidTr="00257DEF">
        <w:tblPrEx>
          <w:tblCellMar>
            <w:top w:w="0" w:type="dxa"/>
            <w:bottom w:w="0" w:type="dxa"/>
          </w:tblCellMar>
        </w:tblPrEx>
        <w:tc>
          <w:tcPr>
            <w:tcW w:w="9073" w:type="dxa"/>
          </w:tcPr>
          <w:p w14:paraId="69713F77" w14:textId="77777777" w:rsidR="00A163ED" w:rsidRDefault="00843853" w:rsidP="005B4431">
            <w:pPr>
              <w:rPr>
                <w:sz w:val="22"/>
              </w:rPr>
            </w:pPr>
            <w:r>
              <w:rPr>
                <w:sz w:val="22"/>
              </w:rPr>
              <w:t>New</w:t>
            </w:r>
          </w:p>
          <w:p w14:paraId="389CBA62" w14:textId="77777777" w:rsidR="003D2BB8" w:rsidRDefault="003D2BB8" w:rsidP="005B4431">
            <w:pPr>
              <w:rPr>
                <w:sz w:val="22"/>
              </w:rPr>
            </w:pPr>
          </w:p>
        </w:tc>
      </w:tr>
      <w:tr w:rsidR="00A163ED" w14:paraId="6E90B31D" w14:textId="77777777" w:rsidTr="00257DEF">
        <w:tblPrEx>
          <w:tblCellMar>
            <w:top w:w="0" w:type="dxa"/>
            <w:bottom w:w="0" w:type="dxa"/>
          </w:tblCellMar>
        </w:tblPrEx>
        <w:tc>
          <w:tcPr>
            <w:tcW w:w="9073" w:type="dxa"/>
          </w:tcPr>
          <w:p w14:paraId="7603102E" w14:textId="77777777" w:rsidR="00A163ED" w:rsidRDefault="00A163ED" w:rsidP="005B4431">
            <w:pPr>
              <w:rPr>
                <w:sz w:val="22"/>
              </w:rPr>
            </w:pPr>
            <w:r>
              <w:rPr>
                <w:b/>
                <w:bCs/>
                <w:sz w:val="22"/>
              </w:rPr>
              <w:t>QUOTED APPLICANTS MUST ALSO COMPLETE THE FOLLOWING:</w:t>
            </w:r>
          </w:p>
        </w:tc>
      </w:tr>
      <w:tr w:rsidR="00A163ED" w14:paraId="31024D2C" w14:textId="77777777" w:rsidTr="00257DEF">
        <w:tblPrEx>
          <w:tblCellMar>
            <w:top w:w="0" w:type="dxa"/>
            <w:bottom w:w="0" w:type="dxa"/>
          </w:tblCellMar>
        </w:tblPrEx>
        <w:tc>
          <w:tcPr>
            <w:tcW w:w="9073" w:type="dxa"/>
          </w:tcPr>
          <w:p w14:paraId="403449DC" w14:textId="77777777" w:rsidR="00A163ED" w:rsidRDefault="00A163ED" w:rsidP="005B4431">
            <w:pPr>
              <w:rPr>
                <w:sz w:val="22"/>
              </w:rPr>
            </w:pPr>
          </w:p>
        </w:tc>
      </w:tr>
      <w:tr w:rsidR="00A163ED" w14:paraId="7200B0F9" w14:textId="77777777" w:rsidTr="00257DEF">
        <w:tblPrEx>
          <w:tblCellMar>
            <w:top w:w="0" w:type="dxa"/>
            <w:bottom w:w="0" w:type="dxa"/>
          </w:tblCellMar>
        </w:tblPrEx>
        <w:tc>
          <w:tcPr>
            <w:tcW w:w="9073" w:type="dxa"/>
            <w:shd w:val="pct12" w:color="auto" w:fill="auto"/>
          </w:tcPr>
          <w:p w14:paraId="40575911" w14:textId="77777777" w:rsidR="00A163ED" w:rsidRDefault="00A163ED" w:rsidP="005B4431">
            <w:pPr>
              <w:rPr>
                <w:sz w:val="22"/>
              </w:rPr>
            </w:pPr>
            <w:r>
              <w:rPr>
                <w:sz w:val="22"/>
              </w:rPr>
              <w:t xml:space="preserve">THE NAME OF THE </w:t>
            </w:r>
            <w:r w:rsidRPr="00BD13AB">
              <w:rPr>
                <w:sz w:val="22"/>
                <w:u w:val="single"/>
              </w:rPr>
              <w:t>AIM DESIGNATED MARKET</w:t>
            </w:r>
            <w:r>
              <w:rPr>
                <w:sz w:val="22"/>
              </w:rPr>
              <w:t xml:space="preserve"> UPON WHICH THE APPLICANT’S SECURITIES HAVE BEEN TRADED:</w:t>
            </w:r>
          </w:p>
        </w:tc>
      </w:tr>
      <w:tr w:rsidR="00A163ED" w14:paraId="3CA60782" w14:textId="77777777" w:rsidTr="00257DEF">
        <w:tblPrEx>
          <w:tblCellMar>
            <w:top w:w="0" w:type="dxa"/>
            <w:bottom w:w="0" w:type="dxa"/>
          </w:tblCellMar>
        </w:tblPrEx>
        <w:tc>
          <w:tcPr>
            <w:tcW w:w="9073" w:type="dxa"/>
            <w:shd w:val="clear" w:color="auto" w:fill="auto"/>
          </w:tcPr>
          <w:p w14:paraId="1F922B75" w14:textId="77777777" w:rsidR="00A163ED" w:rsidRDefault="00E276BB" w:rsidP="005B4431">
            <w:pPr>
              <w:rPr>
                <w:sz w:val="22"/>
              </w:rPr>
            </w:pPr>
            <w:r>
              <w:rPr>
                <w:sz w:val="22"/>
              </w:rPr>
              <w:t>Main Boar</w:t>
            </w:r>
            <w:r w:rsidR="00F96607">
              <w:rPr>
                <w:sz w:val="22"/>
              </w:rPr>
              <w:t>d</w:t>
            </w:r>
            <w:r>
              <w:rPr>
                <w:sz w:val="22"/>
              </w:rPr>
              <w:t xml:space="preserve"> of the JSE Limited </w:t>
            </w:r>
          </w:p>
          <w:p w14:paraId="4599E9AA" w14:textId="77777777" w:rsidR="003D2BB8" w:rsidRDefault="003D2BB8" w:rsidP="005B4431">
            <w:pPr>
              <w:rPr>
                <w:sz w:val="22"/>
              </w:rPr>
            </w:pPr>
          </w:p>
        </w:tc>
      </w:tr>
      <w:tr w:rsidR="00A163ED" w14:paraId="2C91023F" w14:textId="77777777" w:rsidTr="00257DEF">
        <w:tblPrEx>
          <w:tblCellMar>
            <w:top w:w="0" w:type="dxa"/>
            <w:bottom w:w="0" w:type="dxa"/>
          </w:tblCellMar>
        </w:tblPrEx>
        <w:tc>
          <w:tcPr>
            <w:tcW w:w="9073" w:type="dxa"/>
            <w:shd w:val="pct12" w:color="auto" w:fill="auto"/>
          </w:tcPr>
          <w:p w14:paraId="487ADD85" w14:textId="77777777" w:rsidR="00A163ED" w:rsidRDefault="00A163ED" w:rsidP="005B4431">
            <w:pPr>
              <w:rPr>
                <w:sz w:val="22"/>
              </w:rPr>
            </w:pPr>
            <w:r>
              <w:rPr>
                <w:sz w:val="22"/>
              </w:rPr>
              <w:t>THE DATE FROM WHICH THE APPLICANT’S SECURITIES HAVE BEEN SO TRADED:</w:t>
            </w:r>
          </w:p>
        </w:tc>
      </w:tr>
      <w:tr w:rsidR="00A163ED" w14:paraId="7E0F7907" w14:textId="77777777" w:rsidTr="00617987">
        <w:tblPrEx>
          <w:tblCellMar>
            <w:top w:w="0" w:type="dxa"/>
            <w:bottom w:w="0" w:type="dxa"/>
          </w:tblCellMar>
        </w:tblPrEx>
        <w:tc>
          <w:tcPr>
            <w:tcW w:w="9073" w:type="dxa"/>
            <w:shd w:val="clear" w:color="auto" w:fill="auto"/>
          </w:tcPr>
          <w:p w14:paraId="520FF6F0" w14:textId="77777777" w:rsidR="003D2BB8" w:rsidRDefault="00F50045" w:rsidP="005B4431">
            <w:pPr>
              <w:rPr>
                <w:sz w:val="22"/>
              </w:rPr>
            </w:pPr>
            <w:r w:rsidRPr="00F50045">
              <w:rPr>
                <w:sz w:val="22"/>
              </w:rPr>
              <w:t xml:space="preserve">The Company was listed on the </w:t>
            </w:r>
            <w:r w:rsidR="00DA56D8">
              <w:rPr>
                <w:sz w:val="22"/>
              </w:rPr>
              <w:t>Bermuda Stock Exchange (“</w:t>
            </w:r>
            <w:r w:rsidRPr="00F50045">
              <w:rPr>
                <w:sz w:val="22"/>
              </w:rPr>
              <w:t>BSX</w:t>
            </w:r>
            <w:r w:rsidR="00DA56D8">
              <w:rPr>
                <w:sz w:val="22"/>
              </w:rPr>
              <w:t>”)</w:t>
            </w:r>
            <w:r w:rsidRPr="00F50045">
              <w:rPr>
                <w:sz w:val="22"/>
              </w:rPr>
              <w:t xml:space="preserve"> on 26 September 2007. On 20 August 2008, the Company listed on the </w:t>
            </w:r>
            <w:r w:rsidR="00DA56D8">
              <w:rPr>
                <w:sz w:val="22"/>
              </w:rPr>
              <w:t>J</w:t>
            </w:r>
            <w:r w:rsidR="00DA56D8" w:rsidRPr="005B23AC">
              <w:rPr>
                <w:sz w:val="22"/>
              </w:rPr>
              <w:t>ohannesburg Stock Exchange</w:t>
            </w:r>
            <w:r w:rsidR="00DA56D8">
              <w:rPr>
                <w:sz w:val="22"/>
              </w:rPr>
              <w:t xml:space="preserve"> (“J</w:t>
            </w:r>
            <w:r w:rsidRPr="00F50045">
              <w:rPr>
                <w:sz w:val="22"/>
              </w:rPr>
              <w:t>SE</w:t>
            </w:r>
            <w:r w:rsidR="00DA56D8">
              <w:rPr>
                <w:sz w:val="22"/>
              </w:rPr>
              <w:t>”)</w:t>
            </w:r>
            <w:r w:rsidRPr="00F50045">
              <w:rPr>
                <w:sz w:val="22"/>
              </w:rPr>
              <w:t>, with the JSE becoming the Company’s primary listing and the BSX listing being retained as a secondary listing.</w:t>
            </w:r>
          </w:p>
          <w:p w14:paraId="49813D0A" w14:textId="77777777" w:rsidR="00F50045" w:rsidRDefault="00F50045" w:rsidP="005B4431">
            <w:pPr>
              <w:rPr>
                <w:sz w:val="22"/>
              </w:rPr>
            </w:pPr>
          </w:p>
        </w:tc>
      </w:tr>
      <w:tr w:rsidR="00A163ED" w14:paraId="31F434A8" w14:textId="77777777" w:rsidTr="00257DEF">
        <w:tblPrEx>
          <w:tblCellMar>
            <w:top w:w="0" w:type="dxa"/>
            <w:bottom w:w="0" w:type="dxa"/>
          </w:tblCellMar>
        </w:tblPrEx>
        <w:tc>
          <w:tcPr>
            <w:tcW w:w="9073" w:type="dxa"/>
            <w:shd w:val="pct12" w:color="auto" w:fill="auto"/>
          </w:tcPr>
          <w:p w14:paraId="32A2FDED" w14:textId="77777777" w:rsidR="00A163ED" w:rsidRDefault="00A163ED" w:rsidP="005B4431">
            <w:pPr>
              <w:rPr>
                <w:sz w:val="22"/>
              </w:rPr>
            </w:pPr>
            <w:r>
              <w:rPr>
                <w:sz w:val="22"/>
              </w:rPr>
              <w:t>CONFIRMATION THAT, FOLLOWING DUE AND CAREFUL ENQUIRY, THE APPLICANT HAS ADHERED TO ANY LEGAL AND REGULATORY REQUIREMENTS INVOLVED IN HAVING ITS SECURITIES TRADED UPON SUCH A MARKET</w:t>
            </w:r>
            <w:r w:rsidR="003F4BD5">
              <w:rPr>
                <w:sz w:val="22"/>
              </w:rPr>
              <w:t xml:space="preserve"> OR </w:t>
            </w:r>
            <w:r w:rsidR="003F4BD5" w:rsidRPr="00E13D9F">
              <w:rPr>
                <w:sz w:val="22"/>
                <w:u w:val="single"/>
              </w:rPr>
              <w:t>DETAILS OF WHERE THERE HAS BEEN ANY BREACH</w:t>
            </w:r>
            <w:r>
              <w:rPr>
                <w:sz w:val="22"/>
              </w:rPr>
              <w:t>:</w:t>
            </w:r>
          </w:p>
        </w:tc>
      </w:tr>
      <w:tr w:rsidR="00A163ED" w14:paraId="35FF8E11" w14:textId="77777777" w:rsidTr="00257DEF">
        <w:tblPrEx>
          <w:tblCellMar>
            <w:top w:w="0" w:type="dxa"/>
            <w:bottom w:w="0" w:type="dxa"/>
          </w:tblCellMar>
        </w:tblPrEx>
        <w:tc>
          <w:tcPr>
            <w:tcW w:w="9073" w:type="dxa"/>
            <w:shd w:val="clear" w:color="auto" w:fill="auto"/>
          </w:tcPr>
          <w:p w14:paraId="0094D66B" w14:textId="77777777" w:rsidR="00A163ED" w:rsidRDefault="00E276BB" w:rsidP="005B4431">
            <w:pPr>
              <w:rPr>
                <w:sz w:val="22"/>
              </w:rPr>
            </w:pPr>
            <w:r>
              <w:rPr>
                <w:sz w:val="22"/>
              </w:rPr>
              <w:t xml:space="preserve">The Company confirms, following due and careful enquiry, that it has adhered to all legal and regulatory requirements involved in having its securities traded on the Main Board of the JSE Limited. </w:t>
            </w:r>
          </w:p>
          <w:p w14:paraId="68F281FD" w14:textId="77777777" w:rsidR="003D2BB8" w:rsidRDefault="003D2BB8" w:rsidP="005B4431">
            <w:pPr>
              <w:rPr>
                <w:sz w:val="22"/>
              </w:rPr>
            </w:pPr>
          </w:p>
          <w:p w14:paraId="3A71ACD1" w14:textId="77777777" w:rsidR="00D54951" w:rsidRDefault="00D54951" w:rsidP="005B4431">
            <w:pPr>
              <w:rPr>
                <w:sz w:val="22"/>
              </w:rPr>
            </w:pPr>
          </w:p>
        </w:tc>
      </w:tr>
      <w:tr w:rsidR="00A163ED" w14:paraId="394F1945" w14:textId="77777777" w:rsidTr="00257DEF">
        <w:tblPrEx>
          <w:tblCellMar>
            <w:top w:w="0" w:type="dxa"/>
            <w:bottom w:w="0" w:type="dxa"/>
          </w:tblCellMar>
        </w:tblPrEx>
        <w:tc>
          <w:tcPr>
            <w:tcW w:w="9073" w:type="dxa"/>
            <w:shd w:val="pct12" w:color="auto" w:fill="auto"/>
          </w:tcPr>
          <w:p w14:paraId="27F9E83C" w14:textId="77777777" w:rsidR="00A163ED" w:rsidRDefault="00A163ED" w:rsidP="005B4431">
            <w:pPr>
              <w:rPr>
                <w:sz w:val="22"/>
              </w:rPr>
            </w:pPr>
            <w:r>
              <w:rPr>
                <w:sz w:val="22"/>
              </w:rPr>
              <w:t>AN ADDRESS OR WEB-SITE ADDRESS WHERE ANY DOCUMENTS OR ANNOUNCEMENTS WHICH THE APPLICANT HAS MADE PUBLIC OVER THE LAST TWO YEARS (IN CONSEQUENCE OF HAVING ITS SECURITIES SO TRADED) ARE AVAILABLE:</w:t>
            </w:r>
          </w:p>
        </w:tc>
      </w:tr>
      <w:tr w:rsidR="00A163ED" w14:paraId="1A20357C" w14:textId="77777777" w:rsidTr="00257DEF">
        <w:tblPrEx>
          <w:tblCellMar>
            <w:top w:w="0" w:type="dxa"/>
            <w:bottom w:w="0" w:type="dxa"/>
          </w:tblCellMar>
        </w:tblPrEx>
        <w:tc>
          <w:tcPr>
            <w:tcW w:w="9073" w:type="dxa"/>
            <w:shd w:val="clear" w:color="auto" w:fill="auto"/>
          </w:tcPr>
          <w:p w14:paraId="2A892CE2" w14:textId="77777777" w:rsidR="00A163ED" w:rsidRDefault="00A163ED" w:rsidP="005B4431">
            <w:pPr>
              <w:rPr>
                <w:sz w:val="22"/>
              </w:rPr>
            </w:pPr>
          </w:p>
          <w:p w14:paraId="6B8B9225" w14:textId="77777777" w:rsidR="003D2BB8" w:rsidRDefault="00E276BB" w:rsidP="005B4431">
            <w:pPr>
              <w:rPr>
                <w:sz w:val="22"/>
              </w:rPr>
            </w:pPr>
            <w:hyperlink r:id="rId7" w:history="1">
              <w:r w:rsidRPr="00681AB4">
                <w:rPr>
                  <w:rStyle w:val="Hyperlink"/>
                  <w:sz w:val="22"/>
                </w:rPr>
                <w:t>www.gemfieldsgroup.com</w:t>
              </w:r>
            </w:hyperlink>
            <w:r>
              <w:rPr>
                <w:sz w:val="22"/>
              </w:rPr>
              <w:t xml:space="preserve"> </w:t>
            </w:r>
          </w:p>
          <w:p w14:paraId="6472908C" w14:textId="77777777" w:rsidR="00CC792C" w:rsidRDefault="00CC792C" w:rsidP="005B4431">
            <w:pPr>
              <w:rPr>
                <w:sz w:val="22"/>
              </w:rPr>
            </w:pPr>
          </w:p>
        </w:tc>
      </w:tr>
      <w:tr w:rsidR="00A163ED" w14:paraId="72532BEC" w14:textId="77777777" w:rsidTr="00257DEF">
        <w:tblPrEx>
          <w:tblCellMar>
            <w:top w:w="0" w:type="dxa"/>
            <w:bottom w:w="0" w:type="dxa"/>
          </w:tblCellMar>
        </w:tblPrEx>
        <w:tc>
          <w:tcPr>
            <w:tcW w:w="9073" w:type="dxa"/>
            <w:shd w:val="pct12" w:color="auto" w:fill="auto"/>
          </w:tcPr>
          <w:p w14:paraId="60B09BBB" w14:textId="77777777" w:rsidR="00A163ED" w:rsidRDefault="00A163ED" w:rsidP="005B4431">
            <w:pPr>
              <w:rPr>
                <w:sz w:val="22"/>
              </w:rPr>
            </w:pPr>
            <w:r>
              <w:rPr>
                <w:sz w:val="22"/>
              </w:rPr>
              <w:t>DETAILS OF THE APPLICANT’S STRATEGY FOLLOWING ADMISSION INCLUDING, IN THE CASE OF AN INVESTING CO</w:t>
            </w:r>
            <w:r w:rsidR="003F4BD5">
              <w:rPr>
                <w:sz w:val="22"/>
              </w:rPr>
              <w:t>MPANY, DETAILS OF ITS INVESTING</w:t>
            </w:r>
            <w:r>
              <w:rPr>
                <w:sz w:val="22"/>
              </w:rPr>
              <w:t xml:space="preserve"> STRATEGY:</w:t>
            </w:r>
          </w:p>
        </w:tc>
      </w:tr>
      <w:tr w:rsidR="00A163ED" w14:paraId="3F0943EA" w14:textId="77777777" w:rsidTr="005B4003">
        <w:tblPrEx>
          <w:tblCellMar>
            <w:top w:w="0" w:type="dxa"/>
            <w:bottom w:w="0" w:type="dxa"/>
          </w:tblCellMar>
        </w:tblPrEx>
        <w:tc>
          <w:tcPr>
            <w:tcW w:w="9073" w:type="dxa"/>
            <w:shd w:val="clear" w:color="auto" w:fill="auto"/>
          </w:tcPr>
          <w:p w14:paraId="7BC8F883" w14:textId="77777777" w:rsidR="00A163ED" w:rsidRDefault="00A163ED" w:rsidP="005B4431">
            <w:pPr>
              <w:rPr>
                <w:sz w:val="22"/>
              </w:rPr>
            </w:pPr>
          </w:p>
          <w:p w14:paraId="67F2BC7D" w14:textId="77777777" w:rsidR="003D2BB8" w:rsidRPr="00843721" w:rsidRDefault="005B4003" w:rsidP="005B4431">
            <w:pPr>
              <w:rPr>
                <w:sz w:val="22"/>
              </w:rPr>
            </w:pPr>
            <w:r w:rsidRPr="00843721">
              <w:rPr>
                <w:sz w:val="22"/>
              </w:rPr>
              <w:t xml:space="preserve">The Company’s strategy is to </w:t>
            </w:r>
            <w:r w:rsidR="00897779" w:rsidRPr="00843721">
              <w:rPr>
                <w:sz w:val="22"/>
              </w:rPr>
              <w:t xml:space="preserve">be the global leader in precious coloured gemstones and will continue to mine, develop and market precious coloured gemstones. The Company intends to </w:t>
            </w:r>
            <w:r w:rsidRPr="00843721">
              <w:rPr>
                <w:sz w:val="22"/>
              </w:rPr>
              <w:t>develop</w:t>
            </w:r>
            <w:r w:rsidR="00897779" w:rsidRPr="00843721">
              <w:rPr>
                <w:sz w:val="22"/>
              </w:rPr>
              <w:t xml:space="preserve"> the</w:t>
            </w:r>
            <w:r w:rsidRPr="00843721">
              <w:rPr>
                <w:sz w:val="22"/>
              </w:rPr>
              <w:t xml:space="preserve"> coloured gemstone</w:t>
            </w:r>
            <w:r w:rsidR="00897779" w:rsidRPr="00843721">
              <w:rPr>
                <w:sz w:val="22"/>
              </w:rPr>
              <w:t xml:space="preserve"> market through the Company’s own marketing expertise and the market in which Faberg</w:t>
            </w:r>
            <w:r w:rsidR="00897779" w:rsidRPr="00843721">
              <w:rPr>
                <w:rFonts w:cs="Arial"/>
                <w:sz w:val="22"/>
              </w:rPr>
              <w:t>é</w:t>
            </w:r>
            <w:r w:rsidR="00897779" w:rsidRPr="00843721">
              <w:rPr>
                <w:sz w:val="22"/>
              </w:rPr>
              <w:t xml:space="preserve"> operates. </w:t>
            </w:r>
          </w:p>
          <w:p w14:paraId="6635EDD6" w14:textId="77777777" w:rsidR="00584774" w:rsidRPr="00843721" w:rsidRDefault="00584774" w:rsidP="005B4431">
            <w:pPr>
              <w:rPr>
                <w:sz w:val="22"/>
              </w:rPr>
            </w:pPr>
          </w:p>
          <w:p w14:paraId="3DF21032" w14:textId="77777777" w:rsidR="00FA2EB4" w:rsidRPr="00843721" w:rsidRDefault="00FA2EB4" w:rsidP="005B4431">
            <w:pPr>
              <w:rPr>
                <w:sz w:val="22"/>
              </w:rPr>
            </w:pPr>
            <w:r w:rsidRPr="00843721">
              <w:rPr>
                <w:sz w:val="22"/>
              </w:rPr>
              <w:t xml:space="preserve">In addition, the Company has previously announced </w:t>
            </w:r>
            <w:r w:rsidR="00210708">
              <w:rPr>
                <w:sz w:val="22"/>
              </w:rPr>
              <w:t xml:space="preserve">(on 28 September 2018) </w:t>
            </w:r>
            <w:r w:rsidRPr="00843721">
              <w:rPr>
                <w:sz w:val="22"/>
              </w:rPr>
              <w:t xml:space="preserve">that its </w:t>
            </w:r>
            <w:r w:rsidR="00A95F71">
              <w:rPr>
                <w:sz w:val="22"/>
              </w:rPr>
              <w:t xml:space="preserve">minority stake in Sedibelo Platinum Mines Ltd, a </w:t>
            </w:r>
            <w:r w:rsidRPr="00843721">
              <w:rPr>
                <w:sz w:val="22"/>
              </w:rPr>
              <w:t xml:space="preserve">non-core asset, </w:t>
            </w:r>
            <w:r w:rsidR="00B423A1">
              <w:rPr>
                <w:sz w:val="22"/>
              </w:rPr>
              <w:t>is</w:t>
            </w:r>
            <w:r w:rsidRPr="00843721">
              <w:rPr>
                <w:sz w:val="22"/>
              </w:rPr>
              <w:t xml:space="preserve"> available for sale. The Company will continue to pursue options </w:t>
            </w:r>
            <w:r w:rsidR="00B423A1">
              <w:rPr>
                <w:sz w:val="22"/>
              </w:rPr>
              <w:t>in this</w:t>
            </w:r>
            <w:r w:rsidRPr="00843721">
              <w:rPr>
                <w:sz w:val="22"/>
              </w:rPr>
              <w:t xml:space="preserve"> regard. </w:t>
            </w:r>
          </w:p>
          <w:p w14:paraId="0A6425C2" w14:textId="77777777" w:rsidR="005B4003" w:rsidRDefault="005B4003" w:rsidP="00FA2EB4">
            <w:pPr>
              <w:rPr>
                <w:sz w:val="22"/>
              </w:rPr>
            </w:pPr>
          </w:p>
        </w:tc>
      </w:tr>
      <w:tr w:rsidR="00A163ED" w14:paraId="6B446589" w14:textId="77777777" w:rsidTr="00257DEF">
        <w:tblPrEx>
          <w:tblCellMar>
            <w:top w:w="0" w:type="dxa"/>
            <w:bottom w:w="0" w:type="dxa"/>
          </w:tblCellMar>
        </w:tblPrEx>
        <w:tc>
          <w:tcPr>
            <w:tcW w:w="9073" w:type="dxa"/>
            <w:shd w:val="pct12" w:color="auto" w:fill="auto"/>
          </w:tcPr>
          <w:p w14:paraId="617F49F0" w14:textId="77777777" w:rsidR="00A163ED" w:rsidRDefault="00A163ED" w:rsidP="005B4431">
            <w:pPr>
              <w:rPr>
                <w:sz w:val="22"/>
              </w:rPr>
            </w:pPr>
            <w:r>
              <w:rPr>
                <w:sz w:val="22"/>
              </w:rPr>
              <w:t>A DESCRIPTION OF ANY SIGNIFICANT CHANGE IN FINANCIAL OR TRADING POSITION OF THE APPLICANT, WHICH HAS OCCURRED SINCE THE END OF THE LAST FINANCIAL PERIOD FOR WHICH AUDITED STATEMENTS HAVE BEEN PUBLISHED:</w:t>
            </w:r>
          </w:p>
        </w:tc>
      </w:tr>
      <w:tr w:rsidR="00A163ED" w14:paraId="686FEAAF" w14:textId="77777777" w:rsidTr="006F39CD">
        <w:tblPrEx>
          <w:tblCellMar>
            <w:top w:w="0" w:type="dxa"/>
            <w:bottom w:w="0" w:type="dxa"/>
          </w:tblCellMar>
        </w:tblPrEx>
        <w:tc>
          <w:tcPr>
            <w:tcW w:w="9073" w:type="dxa"/>
            <w:shd w:val="clear" w:color="auto" w:fill="auto"/>
          </w:tcPr>
          <w:p w14:paraId="39F82172" w14:textId="77777777" w:rsidR="00A163ED" w:rsidRDefault="00A163ED" w:rsidP="005B4431">
            <w:pPr>
              <w:rPr>
                <w:sz w:val="22"/>
              </w:rPr>
            </w:pPr>
          </w:p>
          <w:p w14:paraId="7F27E2CF" w14:textId="77777777" w:rsidR="00F3360E" w:rsidRDefault="00617987" w:rsidP="005B4431">
            <w:pPr>
              <w:rPr>
                <w:sz w:val="22"/>
              </w:rPr>
            </w:pPr>
            <w:r w:rsidRPr="00617987">
              <w:rPr>
                <w:sz w:val="22"/>
              </w:rPr>
              <w:t xml:space="preserve">Other than </w:t>
            </w:r>
            <w:r w:rsidR="00A95F71">
              <w:rPr>
                <w:sz w:val="22"/>
              </w:rPr>
              <w:t>as</w:t>
            </w:r>
            <w:r w:rsidRPr="00617987">
              <w:rPr>
                <w:sz w:val="22"/>
              </w:rPr>
              <w:t xml:space="preserve"> disclosed in the Public Record</w:t>
            </w:r>
            <w:r w:rsidR="004B5346">
              <w:rPr>
                <w:sz w:val="22"/>
              </w:rPr>
              <w:t>, and in particular as announced on</w:t>
            </w:r>
            <w:r w:rsidR="007B5022">
              <w:rPr>
                <w:sz w:val="22"/>
              </w:rPr>
              <w:t xml:space="preserve"> 17 December 2019, or as otherwise </w:t>
            </w:r>
            <w:r w:rsidRPr="00617987">
              <w:rPr>
                <w:sz w:val="22"/>
              </w:rPr>
              <w:t>disclosed in the unaudited interim financial information relating to the Group for the six month period ended 30 June 2019, there have been no significant changes in the financial or trading position of the Company since the end of the financial year ended 31 December 2018.</w:t>
            </w:r>
          </w:p>
          <w:p w14:paraId="38351B95" w14:textId="77777777" w:rsidR="00DC5B30" w:rsidRDefault="00DC5B30" w:rsidP="005B4431">
            <w:pPr>
              <w:rPr>
                <w:sz w:val="22"/>
              </w:rPr>
            </w:pPr>
          </w:p>
        </w:tc>
      </w:tr>
      <w:tr w:rsidR="00A163ED" w14:paraId="7D705644" w14:textId="77777777" w:rsidTr="00257DEF">
        <w:tblPrEx>
          <w:tblCellMar>
            <w:top w:w="0" w:type="dxa"/>
            <w:bottom w:w="0" w:type="dxa"/>
          </w:tblCellMar>
        </w:tblPrEx>
        <w:tc>
          <w:tcPr>
            <w:tcW w:w="9073" w:type="dxa"/>
            <w:shd w:val="pct12" w:color="auto" w:fill="auto"/>
          </w:tcPr>
          <w:p w14:paraId="288B2753" w14:textId="77777777" w:rsidR="00A163ED" w:rsidRDefault="00A163ED" w:rsidP="005B4431">
            <w:pPr>
              <w:rPr>
                <w:sz w:val="22"/>
              </w:rPr>
            </w:pPr>
            <w:r>
              <w:rPr>
                <w:sz w:val="22"/>
              </w:rPr>
              <w:t>A STATEMENT THAT THE DIRECTORS OF THE APPLICANT HAVE NO REASON TO BELIEVE</w:t>
            </w:r>
            <w:r w:rsidR="00D60432">
              <w:rPr>
                <w:sz w:val="22"/>
              </w:rPr>
              <w:t xml:space="preserve"> THAT THE WORKING CAPITAL AVAILABLE TO IT OR</w:t>
            </w:r>
            <w:r>
              <w:rPr>
                <w:sz w:val="22"/>
              </w:rPr>
              <w:t xml:space="preserve"> ITS GROUP WILL BE INSUFFICIENT FOR AT LEAST TWELVE MONTHS FROM THE DATE OF ITS ADMISSION:</w:t>
            </w:r>
          </w:p>
        </w:tc>
      </w:tr>
      <w:tr w:rsidR="00A163ED" w14:paraId="31E7816E" w14:textId="77777777" w:rsidTr="00257DEF">
        <w:tblPrEx>
          <w:tblCellMar>
            <w:top w:w="0" w:type="dxa"/>
            <w:bottom w:w="0" w:type="dxa"/>
          </w:tblCellMar>
        </w:tblPrEx>
        <w:tc>
          <w:tcPr>
            <w:tcW w:w="9073" w:type="dxa"/>
          </w:tcPr>
          <w:p w14:paraId="59AA7AF8" w14:textId="77777777" w:rsidR="00A163ED" w:rsidRDefault="00E276BB" w:rsidP="005B4431">
            <w:pPr>
              <w:rPr>
                <w:sz w:val="22"/>
              </w:rPr>
            </w:pPr>
            <w:r w:rsidRPr="00E276BB">
              <w:rPr>
                <w:sz w:val="22"/>
              </w:rPr>
              <w:t>The Directors of Gemfields have no reason to believe that the working capital available to the Company or its Group will be insufficient for at least twelve months from the date of its admission.</w:t>
            </w:r>
          </w:p>
          <w:p w14:paraId="7C3C5721" w14:textId="77777777" w:rsidR="003D2BB8" w:rsidRDefault="003D2BB8" w:rsidP="005B4431">
            <w:pPr>
              <w:rPr>
                <w:sz w:val="22"/>
              </w:rPr>
            </w:pPr>
          </w:p>
        </w:tc>
      </w:tr>
      <w:tr w:rsidR="00A163ED" w14:paraId="23456441" w14:textId="77777777" w:rsidTr="00257DEF">
        <w:tblPrEx>
          <w:tblCellMar>
            <w:top w:w="0" w:type="dxa"/>
            <w:bottom w:w="0" w:type="dxa"/>
          </w:tblCellMar>
        </w:tblPrEx>
        <w:tc>
          <w:tcPr>
            <w:tcW w:w="9073" w:type="dxa"/>
            <w:shd w:val="pct12" w:color="auto" w:fill="auto"/>
          </w:tcPr>
          <w:p w14:paraId="195D16EE" w14:textId="77777777" w:rsidR="00A163ED" w:rsidRDefault="00A163ED" w:rsidP="005B4431">
            <w:pPr>
              <w:rPr>
                <w:sz w:val="22"/>
              </w:rPr>
            </w:pPr>
            <w:r>
              <w:rPr>
                <w:sz w:val="22"/>
              </w:rPr>
              <w:t>DETAILS OF ANY LOCK-IN ARRANGEMENTS PURSUANT TO RULE 7 OF THE AIM RULES:</w:t>
            </w:r>
          </w:p>
        </w:tc>
      </w:tr>
      <w:tr w:rsidR="00A163ED" w14:paraId="29AF4F98" w14:textId="77777777" w:rsidTr="006F39CD">
        <w:tblPrEx>
          <w:tblCellMar>
            <w:top w:w="0" w:type="dxa"/>
            <w:bottom w:w="0" w:type="dxa"/>
          </w:tblCellMar>
        </w:tblPrEx>
        <w:tc>
          <w:tcPr>
            <w:tcW w:w="9073" w:type="dxa"/>
            <w:shd w:val="clear" w:color="auto" w:fill="auto"/>
          </w:tcPr>
          <w:p w14:paraId="3823E981" w14:textId="77777777" w:rsidR="00BB273E" w:rsidRDefault="00BB273E" w:rsidP="005B4431">
            <w:pPr>
              <w:rPr>
                <w:sz w:val="22"/>
              </w:rPr>
            </w:pPr>
            <w:r>
              <w:rPr>
                <w:sz w:val="22"/>
              </w:rPr>
              <w:t xml:space="preserve">No lock-in arrangements are required pursuant to Rule 7 of the AIM Rules. </w:t>
            </w:r>
          </w:p>
          <w:p w14:paraId="54C1D62D" w14:textId="77777777" w:rsidR="00BB273E" w:rsidRDefault="00BB273E" w:rsidP="005B4431">
            <w:pPr>
              <w:rPr>
                <w:sz w:val="22"/>
              </w:rPr>
            </w:pPr>
          </w:p>
          <w:p w14:paraId="2B424DCC" w14:textId="77777777" w:rsidR="003D2BB8" w:rsidRDefault="00BB273E" w:rsidP="005B4431">
            <w:pPr>
              <w:rPr>
                <w:sz w:val="22"/>
              </w:rPr>
            </w:pPr>
            <w:r>
              <w:rPr>
                <w:sz w:val="22"/>
              </w:rPr>
              <w:t>However, t</w:t>
            </w:r>
            <w:r w:rsidR="007F16F1" w:rsidRPr="007F16F1">
              <w:rPr>
                <w:sz w:val="22"/>
              </w:rPr>
              <w:t xml:space="preserve">he Directors have each undertaken to finnCap that they shall not, except in certain specified circumstances, sell, transfer, grant any option over or otherwise dispose of the legal, beneficial or any other interest in any Ordinary Shares held by them at the date of Admission (or rights arising from any such shares or other securities or attached to any such shares) (together the “Restricted Shares”) prior to the </w:t>
            </w:r>
            <w:r w:rsidR="007F16F1">
              <w:rPr>
                <w:sz w:val="22"/>
              </w:rPr>
              <w:t>six month</w:t>
            </w:r>
            <w:r w:rsidR="007F16F1" w:rsidRPr="007F16F1">
              <w:rPr>
                <w:sz w:val="22"/>
              </w:rPr>
              <w:t xml:space="preserve"> anniversary of Admission.</w:t>
            </w:r>
            <w:r w:rsidR="007F16F1">
              <w:rPr>
                <w:sz w:val="22"/>
              </w:rPr>
              <w:t xml:space="preserve"> </w:t>
            </w:r>
            <w:r w:rsidR="00192721">
              <w:rPr>
                <w:sz w:val="22"/>
              </w:rPr>
              <w:t xml:space="preserve">For a further </w:t>
            </w:r>
            <w:r w:rsidR="00A95F71">
              <w:rPr>
                <w:sz w:val="22"/>
              </w:rPr>
              <w:t xml:space="preserve">twelve </w:t>
            </w:r>
            <w:r w:rsidR="00192721">
              <w:rPr>
                <w:sz w:val="22"/>
              </w:rPr>
              <w:t>months,</w:t>
            </w:r>
            <w:r w:rsidR="007F16F1">
              <w:rPr>
                <w:sz w:val="22"/>
              </w:rPr>
              <w:t xml:space="preserve"> the Directors have each undertaken to </w:t>
            </w:r>
            <w:r w:rsidR="00192721">
              <w:rPr>
                <w:sz w:val="22"/>
              </w:rPr>
              <w:t xml:space="preserve">only dispose of the </w:t>
            </w:r>
            <w:r w:rsidR="00F50045">
              <w:rPr>
                <w:sz w:val="22"/>
              </w:rPr>
              <w:t>Restricted Shares</w:t>
            </w:r>
            <w:r w:rsidR="007F16F1">
              <w:rPr>
                <w:sz w:val="22"/>
              </w:rPr>
              <w:t xml:space="preserve"> </w:t>
            </w:r>
            <w:r w:rsidR="00A95F71">
              <w:rPr>
                <w:sz w:val="22"/>
              </w:rPr>
              <w:t>through</w:t>
            </w:r>
            <w:r w:rsidR="00F50045">
              <w:rPr>
                <w:sz w:val="22"/>
              </w:rPr>
              <w:t xml:space="preserve"> finnCap</w:t>
            </w:r>
            <w:r w:rsidR="00192721">
              <w:rPr>
                <w:sz w:val="22"/>
              </w:rPr>
              <w:t>.</w:t>
            </w:r>
          </w:p>
        </w:tc>
      </w:tr>
      <w:tr w:rsidR="00A163ED" w14:paraId="59FB53D4" w14:textId="77777777" w:rsidTr="00257DEF">
        <w:tblPrEx>
          <w:tblCellMar>
            <w:top w:w="0" w:type="dxa"/>
            <w:bottom w:w="0" w:type="dxa"/>
          </w:tblCellMar>
        </w:tblPrEx>
        <w:tc>
          <w:tcPr>
            <w:tcW w:w="9073" w:type="dxa"/>
            <w:shd w:val="pct12" w:color="auto" w:fill="auto"/>
          </w:tcPr>
          <w:p w14:paraId="458D54CF" w14:textId="77777777" w:rsidR="00A163ED" w:rsidRDefault="00A163ED" w:rsidP="005B4431">
            <w:pPr>
              <w:rPr>
                <w:sz w:val="22"/>
              </w:rPr>
            </w:pPr>
            <w:r>
              <w:rPr>
                <w:sz w:val="22"/>
              </w:rPr>
              <w:t>A BRIEF DESCRIPTION OF THE ARRANGEMENTS FOR SETTLING THE APPLICANT’S SECURITIES:</w:t>
            </w:r>
          </w:p>
        </w:tc>
      </w:tr>
      <w:tr w:rsidR="00A163ED" w14:paraId="793061A1" w14:textId="77777777" w:rsidTr="00257DEF">
        <w:tblPrEx>
          <w:tblCellMar>
            <w:top w:w="0" w:type="dxa"/>
            <w:bottom w:w="0" w:type="dxa"/>
          </w:tblCellMar>
        </w:tblPrEx>
        <w:tc>
          <w:tcPr>
            <w:tcW w:w="9073" w:type="dxa"/>
          </w:tcPr>
          <w:p w14:paraId="19CBC28F" w14:textId="77777777" w:rsidR="00A163ED" w:rsidRDefault="00AE5E0C" w:rsidP="005B4431">
            <w:pPr>
              <w:rPr>
                <w:sz w:val="22"/>
              </w:rPr>
            </w:pPr>
            <w:r>
              <w:rPr>
                <w:sz w:val="22"/>
              </w:rPr>
              <w:t>The Company’s Ordinary Shares may be settled in CREST</w:t>
            </w:r>
          </w:p>
          <w:p w14:paraId="38F3B9EC" w14:textId="77777777" w:rsidR="003D2BB8" w:rsidRDefault="003D2BB8" w:rsidP="005B4431">
            <w:pPr>
              <w:rPr>
                <w:sz w:val="22"/>
              </w:rPr>
            </w:pPr>
          </w:p>
        </w:tc>
      </w:tr>
      <w:tr w:rsidR="00A163ED" w14:paraId="3986EF41" w14:textId="77777777" w:rsidTr="00257DEF">
        <w:tblPrEx>
          <w:tblCellMar>
            <w:top w:w="0" w:type="dxa"/>
            <w:bottom w:w="0" w:type="dxa"/>
          </w:tblCellMar>
        </w:tblPrEx>
        <w:tc>
          <w:tcPr>
            <w:tcW w:w="9073" w:type="dxa"/>
            <w:shd w:val="pct12" w:color="auto" w:fill="auto"/>
          </w:tcPr>
          <w:p w14:paraId="501E67F5" w14:textId="77777777" w:rsidR="00A163ED" w:rsidRDefault="00A163ED" w:rsidP="005B4431">
            <w:pPr>
              <w:rPr>
                <w:sz w:val="22"/>
              </w:rPr>
            </w:pPr>
            <w:r>
              <w:rPr>
                <w:sz w:val="22"/>
              </w:rPr>
              <w:t>A WEBSITE ADDRESS DETAILING THE RIGHTS ATTACHING TO THE APPLICANT’S SECURITIES:</w:t>
            </w:r>
          </w:p>
        </w:tc>
      </w:tr>
      <w:tr w:rsidR="00A163ED" w14:paraId="738444C0" w14:textId="77777777" w:rsidTr="00257DEF">
        <w:tblPrEx>
          <w:tblCellMar>
            <w:top w:w="0" w:type="dxa"/>
            <w:bottom w:w="0" w:type="dxa"/>
          </w:tblCellMar>
        </w:tblPrEx>
        <w:tc>
          <w:tcPr>
            <w:tcW w:w="9073" w:type="dxa"/>
          </w:tcPr>
          <w:p w14:paraId="089574DF" w14:textId="77777777" w:rsidR="00A163ED" w:rsidRDefault="004E110E" w:rsidP="005B4431">
            <w:pPr>
              <w:rPr>
                <w:sz w:val="22"/>
              </w:rPr>
            </w:pPr>
            <w:r>
              <w:rPr>
                <w:sz w:val="22"/>
              </w:rPr>
              <w:t>www.gemfieldsgroup.com</w:t>
            </w:r>
          </w:p>
          <w:p w14:paraId="68B143D6" w14:textId="77777777" w:rsidR="003D2BB8" w:rsidRDefault="003D2BB8" w:rsidP="005B4431">
            <w:pPr>
              <w:rPr>
                <w:sz w:val="22"/>
              </w:rPr>
            </w:pPr>
          </w:p>
        </w:tc>
      </w:tr>
      <w:tr w:rsidR="00A163ED" w14:paraId="41F9D3C4" w14:textId="77777777" w:rsidTr="00257DEF">
        <w:tblPrEx>
          <w:tblCellMar>
            <w:top w:w="0" w:type="dxa"/>
            <w:bottom w:w="0" w:type="dxa"/>
          </w:tblCellMar>
        </w:tblPrEx>
        <w:tc>
          <w:tcPr>
            <w:tcW w:w="9073" w:type="dxa"/>
            <w:shd w:val="pct12" w:color="auto" w:fill="auto"/>
          </w:tcPr>
          <w:p w14:paraId="344E7C0D" w14:textId="77777777" w:rsidR="00A163ED" w:rsidRDefault="00A163ED" w:rsidP="005B4431">
            <w:pPr>
              <w:rPr>
                <w:sz w:val="22"/>
              </w:rPr>
            </w:pPr>
            <w:bookmarkStart w:id="1" w:name="_Hlk28329648"/>
            <w:r>
              <w:rPr>
                <w:sz w:val="22"/>
              </w:rPr>
              <w:t>INFORMATION EQUIVALENT TO THAT REQUIRED FOR AN ADMISSION DOCUMENT WHICH IS NOT CURRENTLY PUBLIC:</w:t>
            </w:r>
          </w:p>
        </w:tc>
      </w:tr>
      <w:bookmarkEnd w:id="1"/>
      <w:tr w:rsidR="00A163ED" w14:paraId="69B76CEF" w14:textId="77777777" w:rsidTr="006F39CD">
        <w:tblPrEx>
          <w:tblCellMar>
            <w:top w:w="0" w:type="dxa"/>
            <w:bottom w:w="0" w:type="dxa"/>
          </w:tblCellMar>
        </w:tblPrEx>
        <w:tc>
          <w:tcPr>
            <w:tcW w:w="9073" w:type="dxa"/>
            <w:shd w:val="clear" w:color="auto" w:fill="auto"/>
          </w:tcPr>
          <w:p w14:paraId="283DE643" w14:textId="77777777" w:rsidR="003D2BB8" w:rsidRDefault="00192721" w:rsidP="00192721">
            <w:pPr>
              <w:rPr>
                <w:sz w:val="22"/>
              </w:rPr>
            </w:pPr>
            <w:r>
              <w:rPr>
                <w:sz w:val="22"/>
              </w:rPr>
              <w:t>Information is contained within the Appendix to Pre Admission Announcement, available on the Company</w:t>
            </w:r>
            <w:r w:rsidR="008676E0">
              <w:rPr>
                <w:sz w:val="22"/>
              </w:rPr>
              <w:t>’s</w:t>
            </w:r>
            <w:r>
              <w:rPr>
                <w:sz w:val="22"/>
              </w:rPr>
              <w:t xml:space="preserve"> website </w:t>
            </w:r>
            <w:hyperlink r:id="rId8" w:history="1">
              <w:r w:rsidRPr="00582121">
                <w:rPr>
                  <w:rStyle w:val="Hyperlink"/>
                  <w:sz w:val="22"/>
                </w:rPr>
                <w:t>www.gemfieldsgroup.com</w:t>
              </w:r>
            </w:hyperlink>
            <w:r>
              <w:rPr>
                <w:sz w:val="22"/>
              </w:rPr>
              <w:t xml:space="preserve"> </w:t>
            </w:r>
          </w:p>
        </w:tc>
      </w:tr>
      <w:tr w:rsidR="00A163ED" w14:paraId="353A34A5" w14:textId="77777777" w:rsidTr="00257DEF">
        <w:tblPrEx>
          <w:tblCellMar>
            <w:top w:w="0" w:type="dxa"/>
            <w:bottom w:w="0" w:type="dxa"/>
          </w:tblCellMar>
        </w:tblPrEx>
        <w:tc>
          <w:tcPr>
            <w:tcW w:w="9073" w:type="dxa"/>
            <w:shd w:val="pct12" w:color="auto" w:fill="auto"/>
          </w:tcPr>
          <w:p w14:paraId="3CDAE970" w14:textId="77777777" w:rsidR="00A163ED" w:rsidRDefault="00A163ED" w:rsidP="005B4431">
            <w:pPr>
              <w:rPr>
                <w:sz w:val="22"/>
              </w:rPr>
            </w:pPr>
            <w:r>
              <w:rPr>
                <w:sz w:val="22"/>
              </w:rPr>
              <w:t xml:space="preserve">A WEBSITE ADDRESS OF A PAGE CONTAINING THE APPLICANT’S LATEST ANNUAL REPORT AND ACCOUNTS WHICH MUST HAVE A FINANCIAL YEAR END NOT MORE </w:t>
            </w:r>
            <w:r>
              <w:rPr>
                <w:sz w:val="22"/>
              </w:rPr>
              <w:lastRenderedPageBreak/>
              <w:t>THEN NINE MONTHS PRIOR TO ADMISSION</w:t>
            </w:r>
            <w:r w:rsidR="0010572A">
              <w:rPr>
                <w:sz w:val="22"/>
              </w:rPr>
              <w:t xml:space="preserve"> AND INTERIM RESULTS WHERE APPLICABLE</w:t>
            </w:r>
            <w:r>
              <w:rPr>
                <w:sz w:val="22"/>
              </w:rPr>
              <w:t xml:space="preserve">.  THE ACCOUNTS MUST BE PREPARED </w:t>
            </w:r>
            <w:r w:rsidR="000C61E2">
              <w:rPr>
                <w:sz w:val="22"/>
              </w:rPr>
              <w:t>IN ACC</w:t>
            </w:r>
            <w:r w:rsidR="003F4BD5">
              <w:rPr>
                <w:sz w:val="22"/>
              </w:rPr>
              <w:t>O</w:t>
            </w:r>
            <w:r w:rsidR="000C61E2">
              <w:rPr>
                <w:sz w:val="22"/>
              </w:rPr>
              <w:t>RDANCE WITH ACCOUNTING STANDARDS PERMISSIBLE UNDER AIM RULE 19:</w:t>
            </w:r>
          </w:p>
        </w:tc>
      </w:tr>
      <w:tr w:rsidR="00A163ED" w14:paraId="71582623" w14:textId="77777777" w:rsidTr="00257DEF">
        <w:tblPrEx>
          <w:tblCellMar>
            <w:top w:w="0" w:type="dxa"/>
            <w:bottom w:w="0" w:type="dxa"/>
          </w:tblCellMar>
        </w:tblPrEx>
        <w:tc>
          <w:tcPr>
            <w:tcW w:w="9073" w:type="dxa"/>
          </w:tcPr>
          <w:p w14:paraId="1502784F" w14:textId="77777777" w:rsidR="00A163ED" w:rsidRDefault="00AE5E0C" w:rsidP="005B4431">
            <w:pPr>
              <w:rPr>
                <w:sz w:val="22"/>
              </w:rPr>
            </w:pPr>
            <w:r>
              <w:rPr>
                <w:sz w:val="22"/>
              </w:rPr>
              <w:lastRenderedPageBreak/>
              <w:t>www.gemfieldsgroup.com</w:t>
            </w:r>
          </w:p>
          <w:p w14:paraId="1ACE246D" w14:textId="77777777" w:rsidR="003D2BB8" w:rsidRDefault="003D2BB8" w:rsidP="005B4431">
            <w:pPr>
              <w:rPr>
                <w:sz w:val="22"/>
              </w:rPr>
            </w:pPr>
          </w:p>
        </w:tc>
      </w:tr>
      <w:tr w:rsidR="00A163ED" w14:paraId="10EF74A4" w14:textId="77777777" w:rsidTr="00257DEF">
        <w:tblPrEx>
          <w:tblCellMar>
            <w:top w:w="0" w:type="dxa"/>
            <w:bottom w:w="0" w:type="dxa"/>
          </w:tblCellMar>
        </w:tblPrEx>
        <w:tc>
          <w:tcPr>
            <w:tcW w:w="9073" w:type="dxa"/>
            <w:shd w:val="pct12" w:color="auto" w:fill="auto"/>
          </w:tcPr>
          <w:p w14:paraId="5DBC03ED" w14:textId="77777777" w:rsidR="00A163ED" w:rsidRDefault="00A163ED" w:rsidP="005B4431">
            <w:pPr>
              <w:rPr>
                <w:sz w:val="22"/>
              </w:rPr>
            </w:pPr>
            <w:r>
              <w:rPr>
                <w:sz w:val="22"/>
              </w:rPr>
              <w:t>THE NUMBER OF EACH CLASS OF SECURITIES HELD IN TRE</w:t>
            </w:r>
            <w:r w:rsidR="00C85490">
              <w:rPr>
                <w:sz w:val="22"/>
              </w:rPr>
              <w:t>ASURY:</w:t>
            </w:r>
            <w:r>
              <w:rPr>
                <w:sz w:val="22"/>
              </w:rPr>
              <w:t xml:space="preserve">  </w:t>
            </w:r>
          </w:p>
        </w:tc>
      </w:tr>
      <w:tr w:rsidR="00F96607" w14:paraId="3BE50483" w14:textId="77777777" w:rsidTr="00257DEF">
        <w:tblPrEx>
          <w:tblCellMar>
            <w:top w:w="0" w:type="dxa"/>
            <w:bottom w:w="0" w:type="dxa"/>
          </w:tblCellMar>
        </w:tblPrEx>
        <w:tc>
          <w:tcPr>
            <w:tcW w:w="9073" w:type="dxa"/>
          </w:tcPr>
          <w:p w14:paraId="4D5A6D60" w14:textId="77777777" w:rsidR="00F96607" w:rsidRPr="008F1BEF" w:rsidRDefault="005D0138" w:rsidP="00F96607">
            <w:pPr>
              <w:rPr>
                <w:sz w:val="22"/>
              </w:rPr>
            </w:pPr>
            <w:r w:rsidRPr="005D0138">
              <w:rPr>
                <w:sz w:val="22"/>
              </w:rPr>
              <w:t>1,267,450,245</w:t>
            </w:r>
            <w:r w:rsidR="000C612D">
              <w:rPr>
                <w:sz w:val="22"/>
              </w:rPr>
              <w:t>*</w:t>
            </w:r>
            <w:r>
              <w:rPr>
                <w:sz w:val="22"/>
              </w:rPr>
              <w:t xml:space="preserve"> </w:t>
            </w:r>
            <w:r w:rsidR="00F96607" w:rsidRPr="008F1BEF">
              <w:rPr>
                <w:sz w:val="22"/>
              </w:rPr>
              <w:t>ordinary shares (“Ordinary Shares”)</w:t>
            </w:r>
          </w:p>
          <w:p w14:paraId="2122E5C0" w14:textId="77777777" w:rsidR="00F96607" w:rsidRPr="008F1BEF" w:rsidRDefault="00F96607" w:rsidP="00F96607">
            <w:pPr>
              <w:rPr>
                <w:sz w:val="22"/>
              </w:rPr>
            </w:pPr>
          </w:p>
          <w:p w14:paraId="52D4C37A" w14:textId="77777777" w:rsidR="00F96607" w:rsidRPr="008F1BEF" w:rsidRDefault="00F96607" w:rsidP="00F96607">
            <w:pPr>
              <w:rPr>
                <w:sz w:val="22"/>
              </w:rPr>
            </w:pPr>
            <w:r w:rsidRPr="008F1BEF">
              <w:rPr>
                <w:sz w:val="22"/>
              </w:rPr>
              <w:t xml:space="preserve">Of which: </w:t>
            </w:r>
          </w:p>
          <w:p w14:paraId="475BF929" w14:textId="77777777" w:rsidR="00F96607" w:rsidRPr="008F1BEF" w:rsidRDefault="00F96607" w:rsidP="00F96607">
            <w:pPr>
              <w:rPr>
                <w:sz w:val="22"/>
              </w:rPr>
            </w:pPr>
            <w:r w:rsidRPr="008F1BEF">
              <w:rPr>
                <w:sz w:val="22"/>
              </w:rPr>
              <w:t>•</w:t>
            </w:r>
            <w:r w:rsidRPr="008F1BEF">
              <w:rPr>
                <w:sz w:val="22"/>
              </w:rPr>
              <w:tab/>
              <w:t>Ordinary Shares held by the Company (with no voting rights): 96,276,146 (</w:t>
            </w:r>
            <w:r w:rsidR="00DD110C">
              <w:rPr>
                <w:sz w:val="22"/>
              </w:rPr>
              <w:t>7.6</w:t>
            </w:r>
            <w:r w:rsidR="003A057F">
              <w:rPr>
                <w:sz w:val="22"/>
              </w:rPr>
              <w:t>0</w:t>
            </w:r>
            <w:r w:rsidRPr="008F1BEF">
              <w:rPr>
                <w:sz w:val="22"/>
              </w:rPr>
              <w:t>%)</w:t>
            </w:r>
          </w:p>
          <w:p w14:paraId="2E726B91" w14:textId="77777777" w:rsidR="00F96607" w:rsidRPr="008F1BEF" w:rsidRDefault="00F96607" w:rsidP="00F96607">
            <w:pPr>
              <w:rPr>
                <w:sz w:val="22"/>
              </w:rPr>
            </w:pPr>
            <w:r w:rsidRPr="008F1BEF">
              <w:rPr>
                <w:sz w:val="22"/>
              </w:rPr>
              <w:t>•</w:t>
            </w:r>
            <w:r w:rsidRPr="008F1BEF">
              <w:rPr>
                <w:sz w:val="22"/>
              </w:rPr>
              <w:tab/>
              <w:t>Total issued number of Ordinary Shares (with voting rights):</w:t>
            </w:r>
            <w:r w:rsidR="00DD110C">
              <w:rPr>
                <w:sz w:val="22"/>
              </w:rPr>
              <w:t xml:space="preserve"> </w:t>
            </w:r>
            <w:r w:rsidR="005D0138" w:rsidRPr="005D0138">
              <w:rPr>
                <w:sz w:val="22"/>
              </w:rPr>
              <w:t>1,171,174,099</w:t>
            </w:r>
          </w:p>
          <w:p w14:paraId="76957310" w14:textId="77777777" w:rsidR="00F96607" w:rsidRPr="008F1BEF" w:rsidRDefault="00F96607" w:rsidP="00F96607">
            <w:pPr>
              <w:rPr>
                <w:sz w:val="22"/>
              </w:rPr>
            </w:pPr>
          </w:p>
          <w:p w14:paraId="5E6C2166" w14:textId="77777777" w:rsidR="00F96607" w:rsidRDefault="00F96607" w:rsidP="00F96607">
            <w:pPr>
              <w:rPr>
                <w:sz w:val="22"/>
              </w:rPr>
            </w:pPr>
            <w:r w:rsidRPr="008F1BEF">
              <w:rPr>
                <w:sz w:val="22"/>
              </w:rPr>
              <w:t>No restrictions as to the transfer of securities</w:t>
            </w:r>
          </w:p>
          <w:p w14:paraId="754A382B" w14:textId="77777777" w:rsidR="000C612D" w:rsidRDefault="000C612D" w:rsidP="00F96607">
            <w:pPr>
              <w:rPr>
                <w:sz w:val="22"/>
              </w:rPr>
            </w:pPr>
          </w:p>
          <w:p w14:paraId="3B59BBF6" w14:textId="77777777" w:rsidR="000C612D" w:rsidRPr="000C612D" w:rsidRDefault="000C612D" w:rsidP="00F96607">
            <w:pPr>
              <w:rPr>
                <w:i/>
                <w:sz w:val="22"/>
                <w:szCs w:val="22"/>
              </w:rPr>
            </w:pPr>
            <w:r w:rsidRPr="000C612D">
              <w:rPr>
                <w:i/>
                <w:sz w:val="22"/>
                <w:szCs w:val="22"/>
              </w:rPr>
              <w:t>*the Company is in the process of buying back shares pursuant to a closed period buyback mandate, lodged with the JSE on 19 December 2019, and, therefore, the stated issued share capital may be up to 100,000,000 shares lower at the date of Admission, depending on the extent to which the buy-back mandate is fulfilled.</w:t>
            </w:r>
          </w:p>
          <w:p w14:paraId="7C8CAD65" w14:textId="77777777" w:rsidR="00F96607" w:rsidRDefault="00F96607" w:rsidP="00F96607">
            <w:pPr>
              <w:rPr>
                <w:sz w:val="22"/>
              </w:rPr>
            </w:pPr>
          </w:p>
        </w:tc>
      </w:tr>
    </w:tbl>
    <w:p w14:paraId="5BEAE324" w14:textId="77777777" w:rsidR="00A163ED" w:rsidRDefault="00A163ED">
      <w:pPr>
        <w:rPr>
          <w:sz w:val="22"/>
        </w:rPr>
      </w:pPr>
    </w:p>
    <w:p w14:paraId="5D18B5D7" w14:textId="77777777" w:rsidR="00BF6CCC" w:rsidRDefault="00BF6CCC">
      <w:pPr>
        <w:rPr>
          <w:sz w:val="22"/>
        </w:rPr>
      </w:pPr>
    </w:p>
    <w:p w14:paraId="1804EA2D" w14:textId="77777777" w:rsidR="00BF6CCC" w:rsidRDefault="00BF6CCC">
      <w:pPr>
        <w:rPr>
          <w:sz w:val="22"/>
        </w:rPr>
      </w:pPr>
    </w:p>
    <w:sectPr w:rsidR="00BF6CCC">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9F5B2" w14:textId="77777777" w:rsidR="002D2741" w:rsidRDefault="002D2741">
      <w:r>
        <w:separator/>
      </w:r>
    </w:p>
  </w:endnote>
  <w:endnote w:type="continuationSeparator" w:id="0">
    <w:p w14:paraId="21F991ED" w14:textId="77777777" w:rsidR="002D2741" w:rsidRDefault="002D2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4D3AC" w14:textId="77777777" w:rsidR="002D2741" w:rsidRDefault="002D2741">
      <w:r>
        <w:separator/>
      </w:r>
    </w:p>
  </w:footnote>
  <w:footnote w:type="continuationSeparator" w:id="0">
    <w:p w14:paraId="6A402175" w14:textId="77777777" w:rsidR="002D2741" w:rsidRDefault="002D27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1B0F"/>
    <w:multiLevelType w:val="hybridMultilevel"/>
    <w:tmpl w:val="78280D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C370F7"/>
    <w:multiLevelType w:val="hybridMultilevel"/>
    <w:tmpl w:val="EE04CD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F9C2541"/>
    <w:multiLevelType w:val="hybridMultilevel"/>
    <w:tmpl w:val="2E0E4162"/>
    <w:lvl w:ilvl="0" w:tplc="4AA4E490">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663A790B"/>
    <w:multiLevelType w:val="hybridMultilevel"/>
    <w:tmpl w:val="8744E446"/>
    <w:lvl w:ilvl="0" w:tplc="9A7CFE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NeedToUniquify" w:val="false"/>
    <w:docVar w:name="APWAFVersion" w:val="5.0"/>
  </w:docVars>
  <w:rsids>
    <w:rsidRoot w:val="00A163ED"/>
    <w:rsid w:val="000246C5"/>
    <w:rsid w:val="00027A56"/>
    <w:rsid w:val="00027A8D"/>
    <w:rsid w:val="00032861"/>
    <w:rsid w:val="00056967"/>
    <w:rsid w:val="0006083D"/>
    <w:rsid w:val="00061AA1"/>
    <w:rsid w:val="00065C4A"/>
    <w:rsid w:val="00071B01"/>
    <w:rsid w:val="00074BC4"/>
    <w:rsid w:val="00093A57"/>
    <w:rsid w:val="00095DCA"/>
    <w:rsid w:val="000B4D66"/>
    <w:rsid w:val="000C1B21"/>
    <w:rsid w:val="000C612D"/>
    <w:rsid w:val="000C61E2"/>
    <w:rsid w:val="000D136B"/>
    <w:rsid w:val="000E53D4"/>
    <w:rsid w:val="0010572A"/>
    <w:rsid w:val="00162FC2"/>
    <w:rsid w:val="00170F22"/>
    <w:rsid w:val="00175E48"/>
    <w:rsid w:val="00190C86"/>
    <w:rsid w:val="00192721"/>
    <w:rsid w:val="00195158"/>
    <w:rsid w:val="001B3B3A"/>
    <w:rsid w:val="001C5803"/>
    <w:rsid w:val="001C66BF"/>
    <w:rsid w:val="001D6991"/>
    <w:rsid w:val="00210708"/>
    <w:rsid w:val="00226BB2"/>
    <w:rsid w:val="00255705"/>
    <w:rsid w:val="00257DEF"/>
    <w:rsid w:val="002746C2"/>
    <w:rsid w:val="0028066D"/>
    <w:rsid w:val="002A1AE1"/>
    <w:rsid w:val="002A210C"/>
    <w:rsid w:val="002B2E87"/>
    <w:rsid w:val="002C2CA0"/>
    <w:rsid w:val="002C7F34"/>
    <w:rsid w:val="002D2741"/>
    <w:rsid w:val="002D3082"/>
    <w:rsid w:val="002E4E95"/>
    <w:rsid w:val="00313B26"/>
    <w:rsid w:val="003239A6"/>
    <w:rsid w:val="00330950"/>
    <w:rsid w:val="00342478"/>
    <w:rsid w:val="00344C93"/>
    <w:rsid w:val="003548E5"/>
    <w:rsid w:val="00354A23"/>
    <w:rsid w:val="00356193"/>
    <w:rsid w:val="00362F97"/>
    <w:rsid w:val="00386A61"/>
    <w:rsid w:val="003972A1"/>
    <w:rsid w:val="003A057F"/>
    <w:rsid w:val="003A10D2"/>
    <w:rsid w:val="003B1855"/>
    <w:rsid w:val="003B6DEC"/>
    <w:rsid w:val="003C061B"/>
    <w:rsid w:val="003C3724"/>
    <w:rsid w:val="003D2BB8"/>
    <w:rsid w:val="003D363F"/>
    <w:rsid w:val="003F4BD5"/>
    <w:rsid w:val="00404B2E"/>
    <w:rsid w:val="00416DEF"/>
    <w:rsid w:val="0042343A"/>
    <w:rsid w:val="00446DEF"/>
    <w:rsid w:val="004473CC"/>
    <w:rsid w:val="00472B8A"/>
    <w:rsid w:val="0049430D"/>
    <w:rsid w:val="004B5346"/>
    <w:rsid w:val="004D5853"/>
    <w:rsid w:val="004E110E"/>
    <w:rsid w:val="004E5AA0"/>
    <w:rsid w:val="00514CD7"/>
    <w:rsid w:val="00520242"/>
    <w:rsid w:val="00536689"/>
    <w:rsid w:val="00537BB9"/>
    <w:rsid w:val="00540AF2"/>
    <w:rsid w:val="0055306F"/>
    <w:rsid w:val="00560A1C"/>
    <w:rsid w:val="005729D9"/>
    <w:rsid w:val="00584774"/>
    <w:rsid w:val="005A32A2"/>
    <w:rsid w:val="005B1070"/>
    <w:rsid w:val="005B23AC"/>
    <w:rsid w:val="005B4003"/>
    <w:rsid w:val="005B4431"/>
    <w:rsid w:val="005C2E5F"/>
    <w:rsid w:val="005D0138"/>
    <w:rsid w:val="00607428"/>
    <w:rsid w:val="0061225C"/>
    <w:rsid w:val="00617987"/>
    <w:rsid w:val="006468F7"/>
    <w:rsid w:val="00647B53"/>
    <w:rsid w:val="00650E5A"/>
    <w:rsid w:val="00661916"/>
    <w:rsid w:val="0067578E"/>
    <w:rsid w:val="006A53A2"/>
    <w:rsid w:val="006B27C4"/>
    <w:rsid w:val="006C5159"/>
    <w:rsid w:val="006C6994"/>
    <w:rsid w:val="006C7EAA"/>
    <w:rsid w:val="006D35CF"/>
    <w:rsid w:val="006E64B2"/>
    <w:rsid w:val="006E6FC4"/>
    <w:rsid w:val="006F39CD"/>
    <w:rsid w:val="007153D2"/>
    <w:rsid w:val="00727462"/>
    <w:rsid w:val="007673C1"/>
    <w:rsid w:val="00773E1F"/>
    <w:rsid w:val="007776AC"/>
    <w:rsid w:val="007A25CC"/>
    <w:rsid w:val="007A25E4"/>
    <w:rsid w:val="007B0F54"/>
    <w:rsid w:val="007B5022"/>
    <w:rsid w:val="007C091C"/>
    <w:rsid w:val="007E243B"/>
    <w:rsid w:val="007E298C"/>
    <w:rsid w:val="007F16F1"/>
    <w:rsid w:val="007F3EF9"/>
    <w:rsid w:val="008026B6"/>
    <w:rsid w:val="00822431"/>
    <w:rsid w:val="008267B6"/>
    <w:rsid w:val="00843721"/>
    <w:rsid w:val="00843853"/>
    <w:rsid w:val="008521E9"/>
    <w:rsid w:val="008676E0"/>
    <w:rsid w:val="00897779"/>
    <w:rsid w:val="008A55EC"/>
    <w:rsid w:val="008B4B8B"/>
    <w:rsid w:val="008C19AC"/>
    <w:rsid w:val="008C689A"/>
    <w:rsid w:val="008D1638"/>
    <w:rsid w:val="008F1BEF"/>
    <w:rsid w:val="008F6079"/>
    <w:rsid w:val="008F7C85"/>
    <w:rsid w:val="009128AB"/>
    <w:rsid w:val="00916692"/>
    <w:rsid w:val="0092212D"/>
    <w:rsid w:val="009237CC"/>
    <w:rsid w:val="00936E8E"/>
    <w:rsid w:val="009773FD"/>
    <w:rsid w:val="009B47AD"/>
    <w:rsid w:val="009B6D5A"/>
    <w:rsid w:val="009C3515"/>
    <w:rsid w:val="009C5075"/>
    <w:rsid w:val="009E001B"/>
    <w:rsid w:val="009E243B"/>
    <w:rsid w:val="009E7A2B"/>
    <w:rsid w:val="00A0395D"/>
    <w:rsid w:val="00A1159E"/>
    <w:rsid w:val="00A14183"/>
    <w:rsid w:val="00A15229"/>
    <w:rsid w:val="00A163ED"/>
    <w:rsid w:val="00A2314C"/>
    <w:rsid w:val="00A40C1C"/>
    <w:rsid w:val="00A53A43"/>
    <w:rsid w:val="00A6281F"/>
    <w:rsid w:val="00A95F71"/>
    <w:rsid w:val="00AC0720"/>
    <w:rsid w:val="00AE5E0C"/>
    <w:rsid w:val="00AF720D"/>
    <w:rsid w:val="00B05A7C"/>
    <w:rsid w:val="00B154D1"/>
    <w:rsid w:val="00B22BEB"/>
    <w:rsid w:val="00B24026"/>
    <w:rsid w:val="00B423A1"/>
    <w:rsid w:val="00B53314"/>
    <w:rsid w:val="00B85A2C"/>
    <w:rsid w:val="00BA0E05"/>
    <w:rsid w:val="00BA0F77"/>
    <w:rsid w:val="00BB273E"/>
    <w:rsid w:val="00BD13AB"/>
    <w:rsid w:val="00BF6CCC"/>
    <w:rsid w:val="00C05B78"/>
    <w:rsid w:val="00C2036B"/>
    <w:rsid w:val="00C27132"/>
    <w:rsid w:val="00C44EB9"/>
    <w:rsid w:val="00C4793D"/>
    <w:rsid w:val="00C5735A"/>
    <w:rsid w:val="00C85490"/>
    <w:rsid w:val="00CB39E8"/>
    <w:rsid w:val="00CB4155"/>
    <w:rsid w:val="00CC7638"/>
    <w:rsid w:val="00CC792C"/>
    <w:rsid w:val="00CE7456"/>
    <w:rsid w:val="00D54951"/>
    <w:rsid w:val="00D60432"/>
    <w:rsid w:val="00D6079F"/>
    <w:rsid w:val="00D61919"/>
    <w:rsid w:val="00D81A4B"/>
    <w:rsid w:val="00D93407"/>
    <w:rsid w:val="00DA56D8"/>
    <w:rsid w:val="00DB3FD9"/>
    <w:rsid w:val="00DC5B30"/>
    <w:rsid w:val="00DD110C"/>
    <w:rsid w:val="00DF2C1A"/>
    <w:rsid w:val="00E10759"/>
    <w:rsid w:val="00E13D9F"/>
    <w:rsid w:val="00E14BD8"/>
    <w:rsid w:val="00E26385"/>
    <w:rsid w:val="00E276BB"/>
    <w:rsid w:val="00E9008B"/>
    <w:rsid w:val="00E953FF"/>
    <w:rsid w:val="00EB5010"/>
    <w:rsid w:val="00EF4A88"/>
    <w:rsid w:val="00F235FA"/>
    <w:rsid w:val="00F3331C"/>
    <w:rsid w:val="00F3360E"/>
    <w:rsid w:val="00F50045"/>
    <w:rsid w:val="00F561AE"/>
    <w:rsid w:val="00F76465"/>
    <w:rsid w:val="00F91E15"/>
    <w:rsid w:val="00F96607"/>
    <w:rsid w:val="00F97D68"/>
    <w:rsid w:val="00FA2EB4"/>
    <w:rsid w:val="00FA49EC"/>
    <w:rsid w:val="00FF00C6"/>
    <w:rsid w:val="00FF2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7E8893"/>
  <w15:chartTrackingRefBased/>
  <w15:docId w15:val="{B36127D5-666E-46EA-8723-B727E445C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5A32A2"/>
    <w:rPr>
      <w:rFonts w:ascii="Tahoma" w:hAnsi="Tahoma" w:cs="Tahoma"/>
      <w:sz w:val="16"/>
      <w:szCs w:val="16"/>
    </w:rPr>
  </w:style>
  <w:style w:type="paragraph" w:customStyle="1" w:styleId="NameJobTitleNEX">
    <w:name w:val="Name &amp; Job Title_NEX"/>
    <w:basedOn w:val="Normal"/>
    <w:qFormat/>
    <w:rsid w:val="008F1BEF"/>
    <w:pPr>
      <w:spacing w:before="240" w:after="240" w:line="260" w:lineRule="exact"/>
      <w:contextualSpacing/>
    </w:pPr>
    <w:rPr>
      <w:rFonts w:ascii="Calibri" w:eastAsia="Calibri" w:hAnsi="Calibri"/>
      <w:b/>
      <w:color w:val="8064A2"/>
      <w:sz w:val="22"/>
      <w:szCs w:val="22"/>
    </w:rPr>
  </w:style>
  <w:style w:type="table" w:styleId="TableGrid">
    <w:name w:val="Table Grid"/>
    <w:basedOn w:val="TableNormal"/>
    <w:uiPriority w:val="39"/>
    <w:rsid w:val="00032861"/>
    <w:rPr>
      <w:rFonts w:ascii="Calibri" w:eastAsia="SimSun" w:hAnsi="Calibr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E276BB"/>
    <w:rPr>
      <w:color w:val="605E5C"/>
      <w:shd w:val="clear" w:color="auto" w:fill="E1DFDD"/>
    </w:rPr>
  </w:style>
  <w:style w:type="character" w:styleId="CommentReference">
    <w:name w:val="annotation reference"/>
    <w:rsid w:val="005B23AC"/>
    <w:rPr>
      <w:sz w:val="16"/>
      <w:szCs w:val="16"/>
    </w:rPr>
  </w:style>
  <w:style w:type="paragraph" w:styleId="CommentText">
    <w:name w:val="annotation text"/>
    <w:basedOn w:val="Normal"/>
    <w:link w:val="CommentTextChar"/>
    <w:rsid w:val="005B23AC"/>
    <w:rPr>
      <w:sz w:val="20"/>
    </w:rPr>
  </w:style>
  <w:style w:type="character" w:customStyle="1" w:styleId="CommentTextChar">
    <w:name w:val="Comment Text Char"/>
    <w:link w:val="CommentText"/>
    <w:rsid w:val="005B23AC"/>
    <w:rPr>
      <w:rFonts w:ascii="Arial" w:hAnsi="Arial"/>
      <w:lang w:eastAsia="en-US"/>
    </w:rPr>
  </w:style>
  <w:style w:type="paragraph" w:styleId="CommentSubject">
    <w:name w:val="annotation subject"/>
    <w:basedOn w:val="CommentText"/>
    <w:next w:val="CommentText"/>
    <w:link w:val="CommentSubjectChar"/>
    <w:rsid w:val="005B23AC"/>
    <w:rPr>
      <w:b/>
      <w:bCs/>
    </w:rPr>
  </w:style>
  <w:style w:type="character" w:customStyle="1" w:styleId="CommentSubjectChar">
    <w:name w:val="Comment Subject Char"/>
    <w:link w:val="CommentSubject"/>
    <w:rsid w:val="005B23AC"/>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gemfieldsgroup.com" TargetMode="External"/><Relationship Id="rId3" Type="http://schemas.openxmlformats.org/officeDocument/2006/relationships/settings" Target="settings.xml"/><Relationship Id="rId7" Type="http://schemas.openxmlformats.org/officeDocument/2006/relationships/hyperlink" Target="http://www.gemfieldsgrou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1899</Words>
  <Characters>10825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PLEASE FORWARD THIS FORM TO :</vt:lpstr>
    </vt:vector>
  </TitlesOfParts>
  <Company>London Stock Exchange</Company>
  <LinksUpToDate>false</LinksUpToDate>
  <CharactersWithSpaces>12699</CharactersWithSpaces>
  <SharedDoc>false</SharedDoc>
  <HLinks>
    <vt:vector size="12" baseType="variant">
      <vt:variant>
        <vt:i4>4063268</vt:i4>
      </vt:variant>
      <vt:variant>
        <vt:i4>3</vt:i4>
      </vt:variant>
      <vt:variant>
        <vt:i4>0</vt:i4>
      </vt:variant>
      <vt:variant>
        <vt:i4>5</vt:i4>
      </vt:variant>
      <vt:variant>
        <vt:lpwstr>http://www.gemfieldsgroup.com/</vt:lpwstr>
      </vt:variant>
      <vt:variant>
        <vt:lpwstr/>
      </vt:variant>
      <vt:variant>
        <vt:i4>4063268</vt:i4>
      </vt:variant>
      <vt:variant>
        <vt:i4>0</vt:i4>
      </vt:variant>
      <vt:variant>
        <vt:i4>0</vt:i4>
      </vt:variant>
      <vt:variant>
        <vt:i4>5</vt:i4>
      </vt:variant>
      <vt:variant>
        <vt:lpwstr>http://www.gemfieldsgroup.com/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FORWARD THIS FORM TO :</dc:title>
  <dc:subject/>
  <dc:creator>London Stock Exchange</dc:creator>
  <cp:keywords/>
  <cp:lastModifiedBy>Mark Lawrie</cp:lastModifiedBy>
  <cp:revision>2</cp:revision>
  <cp:lastPrinted>2020-01-03T13:49:00Z</cp:lastPrinted>
  <dcterms:created xsi:type="dcterms:W3CDTF">2020-01-16T16:03:00Z</dcterms:created>
  <dcterms:modified xsi:type="dcterms:W3CDTF">2020-01-16T16:03:00Z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